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A0426" w14:textId="77777777" w:rsidR="003F7876" w:rsidRPr="00946B92" w:rsidRDefault="003F7876" w:rsidP="005175F7">
      <w:pPr>
        <w:spacing w:after="200"/>
        <w:jc w:val="both"/>
        <w:rPr>
          <w:rFonts w:ascii="Arial" w:hAnsi="Arial" w:cs="Arial"/>
          <w:b/>
          <w:color w:val="000000"/>
        </w:rPr>
      </w:pPr>
      <w:r w:rsidRPr="00946B92">
        <w:rPr>
          <w:rFonts w:ascii="Arial" w:hAnsi="Arial" w:cs="Arial"/>
          <w:b/>
          <w:color w:val="000000"/>
        </w:rPr>
        <w:t>Summary of N</w:t>
      </w:r>
      <w:r w:rsidRPr="00946B92">
        <w:rPr>
          <w:rFonts w:ascii="Arial" w:hAnsi="Arial" w:cs="Arial"/>
          <w:b/>
          <w:color w:val="000000"/>
          <w:vertAlign w:val="subscript"/>
        </w:rPr>
        <w:t>2</w:t>
      </w:r>
      <w:r w:rsidRPr="00946B92">
        <w:rPr>
          <w:rFonts w:ascii="Arial" w:hAnsi="Arial" w:cs="Arial"/>
          <w:b/>
          <w:color w:val="000000"/>
        </w:rPr>
        <w:t xml:space="preserve"> Fixation Town Hall at the 2018 Ocean Sciences Meeting in Portland, OR</w:t>
      </w:r>
    </w:p>
    <w:p w14:paraId="09FE0BA3" w14:textId="50A3F600" w:rsidR="003F7876" w:rsidRPr="00946B92" w:rsidRDefault="003F7876" w:rsidP="005175F7">
      <w:pPr>
        <w:spacing w:after="200"/>
        <w:ind w:left="360" w:hanging="360"/>
        <w:jc w:val="both"/>
        <w:rPr>
          <w:rFonts w:ascii="Arial" w:hAnsi="Arial" w:cs="Arial"/>
          <w:color w:val="000000"/>
        </w:rPr>
      </w:pPr>
      <w:r w:rsidRPr="00946B92">
        <w:rPr>
          <w:rFonts w:ascii="Arial" w:hAnsi="Arial" w:cs="Arial"/>
          <w:b/>
          <w:i/>
          <w:color w:val="000000"/>
        </w:rPr>
        <w:t>Conveners:</w:t>
      </w:r>
      <w:r w:rsidRPr="00946B92">
        <w:rPr>
          <w:rFonts w:ascii="Arial" w:hAnsi="Arial" w:cs="Arial"/>
          <w:color w:val="000000"/>
        </w:rPr>
        <w:t xml:space="preserve"> </w:t>
      </w:r>
      <w:proofErr w:type="spellStart"/>
      <w:r w:rsidRPr="00946B92">
        <w:rPr>
          <w:rFonts w:ascii="Arial" w:hAnsi="Arial" w:cs="Arial"/>
          <w:color w:val="000000"/>
        </w:rPr>
        <w:t>Angelicque</w:t>
      </w:r>
      <w:proofErr w:type="spellEnd"/>
      <w:r w:rsidRPr="00946B92">
        <w:rPr>
          <w:rFonts w:ascii="Arial" w:hAnsi="Arial" w:cs="Arial"/>
          <w:color w:val="000000"/>
        </w:rPr>
        <w:t xml:space="preserve"> White</w:t>
      </w:r>
      <w:r w:rsidR="00CA6F5E">
        <w:rPr>
          <w:rFonts w:ascii="Arial" w:hAnsi="Arial" w:cs="Arial"/>
          <w:color w:val="000000"/>
        </w:rPr>
        <w:t xml:space="preserve"> (Oregon State Univ.)</w:t>
      </w:r>
      <w:r w:rsidRPr="00946B92">
        <w:rPr>
          <w:rFonts w:ascii="Arial" w:hAnsi="Arial" w:cs="Arial"/>
          <w:color w:val="000000"/>
        </w:rPr>
        <w:t xml:space="preserve">, Pia </w:t>
      </w:r>
      <w:proofErr w:type="spellStart"/>
      <w:r w:rsidRPr="00946B92">
        <w:rPr>
          <w:rFonts w:ascii="Arial" w:hAnsi="Arial" w:cs="Arial"/>
          <w:color w:val="000000"/>
        </w:rPr>
        <w:t>Moisander</w:t>
      </w:r>
      <w:proofErr w:type="spellEnd"/>
      <w:r w:rsidRPr="00946B92">
        <w:rPr>
          <w:rFonts w:ascii="Arial" w:hAnsi="Arial" w:cs="Arial"/>
          <w:color w:val="000000"/>
        </w:rPr>
        <w:t xml:space="preserve"> </w:t>
      </w:r>
      <w:r w:rsidR="00CA6F5E">
        <w:rPr>
          <w:rFonts w:ascii="Arial" w:hAnsi="Arial" w:cs="Arial"/>
          <w:color w:val="000000"/>
        </w:rPr>
        <w:t xml:space="preserve">(Univ. Massachusetts, Dartmouth), </w:t>
      </w:r>
      <w:r w:rsidRPr="00946B92">
        <w:rPr>
          <w:rFonts w:ascii="Arial" w:hAnsi="Arial" w:cs="Arial"/>
          <w:color w:val="000000"/>
        </w:rPr>
        <w:t>Julie Granger</w:t>
      </w:r>
      <w:r w:rsidR="00F755F5" w:rsidRPr="00946B92">
        <w:rPr>
          <w:rFonts w:ascii="Arial" w:hAnsi="Arial" w:cs="Arial"/>
          <w:color w:val="000000"/>
        </w:rPr>
        <w:t xml:space="preserve"> </w:t>
      </w:r>
      <w:r w:rsidR="00CA6F5E">
        <w:rPr>
          <w:rFonts w:ascii="Arial" w:hAnsi="Arial" w:cs="Arial"/>
          <w:color w:val="000000"/>
        </w:rPr>
        <w:t>(Univ. Connecticut)</w:t>
      </w:r>
    </w:p>
    <w:p w14:paraId="2B18E5C2" w14:textId="78659658" w:rsidR="001A4700" w:rsidRPr="00946B92" w:rsidRDefault="001A4700" w:rsidP="005175F7">
      <w:pPr>
        <w:ind w:left="360" w:hanging="360"/>
        <w:jc w:val="both"/>
        <w:rPr>
          <w:rFonts w:ascii="Arial" w:hAnsi="Arial" w:cs="Arial"/>
          <w:color w:val="000000"/>
        </w:rPr>
      </w:pPr>
      <w:r w:rsidRPr="00946B92">
        <w:rPr>
          <w:rFonts w:ascii="Arial" w:hAnsi="Arial" w:cs="Arial"/>
          <w:b/>
          <w:i/>
          <w:color w:val="000000"/>
        </w:rPr>
        <w:t xml:space="preserve">Objectives: </w:t>
      </w:r>
      <w:r w:rsidRPr="00946B92">
        <w:rPr>
          <w:rFonts w:ascii="Arial" w:hAnsi="Arial" w:cs="Arial"/>
          <w:color w:val="000000"/>
        </w:rPr>
        <w:t xml:space="preserve">The goal of the town hall meeting was to survey the community regarding perceived limitations and obstacles associated with current means of </w:t>
      </w:r>
      <w:r w:rsidRPr="00946B92">
        <w:rPr>
          <w:rFonts w:ascii="Arial" w:hAnsi="Arial" w:cs="Arial"/>
          <w:b/>
          <w:color w:val="000000"/>
        </w:rPr>
        <w:t>(1)</w:t>
      </w:r>
      <w:r w:rsidRPr="00946B92">
        <w:rPr>
          <w:rFonts w:ascii="Arial" w:hAnsi="Arial" w:cs="Arial"/>
          <w:color w:val="000000"/>
        </w:rPr>
        <w:t xml:space="preserve"> estimating rates of N</w:t>
      </w:r>
      <w:r w:rsidRPr="00946B92">
        <w:rPr>
          <w:rFonts w:ascii="Arial" w:hAnsi="Arial" w:cs="Arial"/>
          <w:color w:val="000000"/>
          <w:vertAlign w:val="subscript"/>
        </w:rPr>
        <w:t>2</w:t>
      </w:r>
      <w:r w:rsidRPr="00946B92">
        <w:rPr>
          <w:rFonts w:ascii="Arial" w:hAnsi="Arial" w:cs="Arial"/>
          <w:color w:val="000000"/>
        </w:rPr>
        <w:t xml:space="preserve"> fixation with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tracer incubations (Montoya et al. 1996), and </w:t>
      </w:r>
      <w:r w:rsidRPr="00946B92">
        <w:rPr>
          <w:rFonts w:ascii="Arial" w:hAnsi="Arial" w:cs="Arial"/>
          <w:b/>
          <w:color w:val="000000"/>
        </w:rPr>
        <w:t>(2)</w:t>
      </w:r>
      <w:r w:rsidRPr="00946B92">
        <w:rPr>
          <w:rFonts w:ascii="Arial" w:hAnsi="Arial" w:cs="Arial"/>
          <w:color w:val="000000"/>
        </w:rPr>
        <w:t xml:space="preserve"> uncovering the identity, abundance and activity of N</w:t>
      </w:r>
      <w:r w:rsidRPr="00946B92">
        <w:rPr>
          <w:rFonts w:ascii="Arial" w:hAnsi="Arial" w:cs="Arial"/>
          <w:color w:val="000000"/>
          <w:vertAlign w:val="subscript"/>
        </w:rPr>
        <w:t>2</w:t>
      </w:r>
      <w:r w:rsidRPr="00946B92">
        <w:rPr>
          <w:rFonts w:ascii="Arial" w:hAnsi="Arial" w:cs="Arial"/>
          <w:color w:val="000000"/>
        </w:rPr>
        <w:t xml:space="preserve"> fixing micro-organisms (diazotrophs) with current molecular techniques, especially quantitative PCR. </w:t>
      </w:r>
    </w:p>
    <w:p w14:paraId="151C44EF" w14:textId="2ED32D00" w:rsidR="003F7876" w:rsidRPr="00946B92" w:rsidRDefault="003F7876" w:rsidP="005175F7">
      <w:pPr>
        <w:ind w:left="360" w:hanging="360"/>
        <w:jc w:val="both"/>
        <w:rPr>
          <w:rFonts w:ascii="Arial" w:hAnsi="Arial" w:cs="Arial"/>
          <w:color w:val="000000"/>
        </w:rPr>
      </w:pPr>
      <w:r w:rsidRPr="00946B92">
        <w:rPr>
          <w:rFonts w:ascii="Arial" w:hAnsi="Arial" w:cs="Arial"/>
          <w:b/>
          <w:i/>
          <w:color w:val="000000"/>
        </w:rPr>
        <w:t xml:space="preserve">List of attendees: </w:t>
      </w:r>
      <w:r w:rsidR="00A74E2D" w:rsidRPr="00946B92">
        <w:rPr>
          <w:rFonts w:ascii="Arial" w:hAnsi="Arial" w:cs="Arial"/>
          <w:color w:val="000000"/>
        </w:rPr>
        <w:t>A formal head count was not taken, but we estimated over 100 participants n the town hall. Of these participants, i</w:t>
      </w:r>
      <w:r w:rsidR="00F755F5" w:rsidRPr="00946B92">
        <w:rPr>
          <w:rFonts w:ascii="Arial" w:hAnsi="Arial" w:cs="Arial"/>
          <w:color w:val="000000"/>
        </w:rPr>
        <w:t>n addition to the working group, there were</w:t>
      </w:r>
      <w:r w:rsidR="008E5411">
        <w:rPr>
          <w:rFonts w:ascii="Arial" w:hAnsi="Arial" w:cs="Arial"/>
          <w:color w:val="000000"/>
        </w:rPr>
        <w:t xml:space="preserve"> 33 town hall participants that</w:t>
      </w:r>
      <w:r w:rsidR="00F755F5" w:rsidRPr="00946B92">
        <w:rPr>
          <w:rFonts w:ascii="Arial" w:hAnsi="Arial" w:cs="Arial"/>
          <w:color w:val="000000"/>
        </w:rPr>
        <w:t xml:space="preserve"> requested to be included in future correspondence and interactions within the OCB N</w:t>
      </w:r>
      <w:r w:rsidR="00F755F5" w:rsidRPr="00946B92">
        <w:rPr>
          <w:rFonts w:ascii="Arial" w:hAnsi="Arial" w:cs="Arial"/>
          <w:color w:val="000000"/>
          <w:vertAlign w:val="subscript"/>
        </w:rPr>
        <w:t xml:space="preserve">2 </w:t>
      </w:r>
      <w:r w:rsidR="00F755F5" w:rsidRPr="00946B92">
        <w:rPr>
          <w:rFonts w:ascii="Arial" w:hAnsi="Arial" w:cs="Arial"/>
          <w:color w:val="000000"/>
        </w:rPr>
        <w:t>fixation working group. The emails for those participants are noted at the end of this document.</w:t>
      </w:r>
    </w:p>
    <w:p w14:paraId="0EE0C7F3" w14:textId="5EAC2E81" w:rsidR="00A74E2D" w:rsidRPr="00946B92" w:rsidRDefault="00A74E2D" w:rsidP="005175F7">
      <w:pPr>
        <w:ind w:left="360" w:hanging="360"/>
        <w:jc w:val="both"/>
        <w:rPr>
          <w:rFonts w:ascii="Arial" w:hAnsi="Arial" w:cs="Arial"/>
          <w:b/>
          <w:i/>
          <w:color w:val="000000"/>
        </w:rPr>
      </w:pPr>
      <w:r w:rsidRPr="00946B92">
        <w:rPr>
          <w:rFonts w:ascii="Arial" w:hAnsi="Arial" w:cs="Arial"/>
          <w:b/>
          <w:i/>
          <w:color w:val="000000"/>
        </w:rPr>
        <w:t>Process:</w:t>
      </w:r>
      <w:r w:rsidRPr="00946B92">
        <w:rPr>
          <w:rFonts w:ascii="Arial" w:hAnsi="Arial" w:cs="Arial"/>
          <w:color w:val="000000"/>
        </w:rPr>
        <w:t xml:space="preserve"> The town hall </w:t>
      </w:r>
      <w:r w:rsidR="00CA6F5E" w:rsidRPr="00946B92">
        <w:rPr>
          <w:rFonts w:ascii="Arial" w:hAnsi="Arial" w:cs="Arial"/>
          <w:color w:val="000000"/>
        </w:rPr>
        <w:t>beg</w:t>
      </w:r>
      <w:r w:rsidR="00CA6F5E">
        <w:rPr>
          <w:rFonts w:ascii="Arial" w:hAnsi="Arial" w:cs="Arial"/>
          <w:color w:val="000000"/>
        </w:rPr>
        <w:t>a</w:t>
      </w:r>
      <w:r w:rsidR="00CA6F5E" w:rsidRPr="00946B92">
        <w:rPr>
          <w:rFonts w:ascii="Arial" w:hAnsi="Arial" w:cs="Arial"/>
          <w:color w:val="000000"/>
        </w:rPr>
        <w:t xml:space="preserve">n </w:t>
      </w:r>
      <w:r w:rsidRPr="00946B92">
        <w:rPr>
          <w:rFonts w:ascii="Arial" w:hAnsi="Arial" w:cs="Arial"/>
          <w:color w:val="000000"/>
        </w:rPr>
        <w:t xml:space="preserve">with opening remarks (A), followed by two introductory talks (B). Attendees then self-selected into groups to discuss either the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method or abundance determination, and a questionnaire meant to serve as a basis for discussion was distributed. </w:t>
      </w:r>
      <w:r w:rsidR="00CA6F5E">
        <w:rPr>
          <w:rFonts w:ascii="Arial" w:hAnsi="Arial" w:cs="Arial"/>
          <w:color w:val="000000"/>
        </w:rPr>
        <w:t>For the remainder of t</w:t>
      </w:r>
      <w:r w:rsidRPr="00946B92">
        <w:rPr>
          <w:rFonts w:ascii="Arial" w:hAnsi="Arial" w:cs="Arial"/>
          <w:color w:val="000000"/>
        </w:rPr>
        <w:t>he town hall</w:t>
      </w:r>
      <w:r w:rsidR="00CA6F5E">
        <w:rPr>
          <w:rFonts w:ascii="Arial" w:hAnsi="Arial" w:cs="Arial"/>
          <w:color w:val="000000"/>
        </w:rPr>
        <w:t>, groups reported back highlights of their discussions</w:t>
      </w:r>
      <w:r w:rsidRPr="00946B92">
        <w:rPr>
          <w:rFonts w:ascii="Arial" w:hAnsi="Arial" w:cs="Arial"/>
          <w:color w:val="000000"/>
        </w:rPr>
        <w:t xml:space="preserve"> (C-D).</w:t>
      </w:r>
    </w:p>
    <w:p w14:paraId="7A9507AD" w14:textId="4AD75337" w:rsidR="00C40480" w:rsidRPr="00946B92" w:rsidRDefault="00285A47" w:rsidP="005175F7">
      <w:pPr>
        <w:pStyle w:val="ListParagraph"/>
        <w:numPr>
          <w:ilvl w:val="0"/>
          <w:numId w:val="1"/>
        </w:numPr>
        <w:spacing w:after="100"/>
        <w:jc w:val="both"/>
        <w:rPr>
          <w:rFonts w:ascii="Arial" w:hAnsi="Arial" w:cs="Arial"/>
          <w:b/>
          <w:i/>
          <w:color w:val="000000"/>
        </w:rPr>
      </w:pPr>
      <w:r w:rsidRPr="00946B92">
        <w:rPr>
          <w:rFonts w:ascii="Arial" w:hAnsi="Arial" w:cs="Arial"/>
          <w:b/>
          <w:i/>
          <w:color w:val="000000"/>
        </w:rPr>
        <w:t>Open</w:t>
      </w:r>
      <w:r w:rsidR="00BD6D3A" w:rsidRPr="00946B92">
        <w:rPr>
          <w:rFonts w:ascii="Arial" w:hAnsi="Arial" w:cs="Arial"/>
          <w:b/>
          <w:i/>
          <w:color w:val="000000"/>
        </w:rPr>
        <w:t>ing remarks (</w:t>
      </w:r>
      <w:proofErr w:type="spellStart"/>
      <w:r w:rsidR="00BD6D3A" w:rsidRPr="00946B92">
        <w:rPr>
          <w:rFonts w:ascii="Arial" w:hAnsi="Arial" w:cs="Arial"/>
          <w:b/>
          <w:i/>
          <w:color w:val="000000"/>
        </w:rPr>
        <w:t>Angelicque</w:t>
      </w:r>
      <w:proofErr w:type="spellEnd"/>
      <w:r w:rsidR="00BD6D3A" w:rsidRPr="00946B92">
        <w:rPr>
          <w:rFonts w:ascii="Arial" w:hAnsi="Arial" w:cs="Arial"/>
          <w:b/>
          <w:i/>
          <w:color w:val="000000"/>
        </w:rPr>
        <w:t xml:space="preserve"> White)</w:t>
      </w:r>
      <w:r w:rsidR="007F6FD5" w:rsidRPr="00946B92">
        <w:rPr>
          <w:rFonts w:ascii="Arial" w:hAnsi="Arial" w:cs="Arial"/>
          <w:b/>
          <w:i/>
          <w:color w:val="000000"/>
        </w:rPr>
        <w:t xml:space="preserve"> are paraphrased below:</w:t>
      </w:r>
    </w:p>
    <w:p w14:paraId="694B8DC6" w14:textId="7816F89E" w:rsidR="007F6FD5" w:rsidRPr="00946B92" w:rsidRDefault="00C40480" w:rsidP="005175F7">
      <w:pPr>
        <w:ind w:left="810"/>
        <w:jc w:val="both"/>
        <w:rPr>
          <w:rFonts w:ascii="Arial" w:hAnsi="Arial" w:cs="Arial"/>
          <w:color w:val="000000"/>
        </w:rPr>
      </w:pPr>
      <w:r w:rsidRPr="00946B92">
        <w:rPr>
          <w:rFonts w:ascii="Arial" w:hAnsi="Arial" w:cs="Arial"/>
          <w:color w:val="000000"/>
        </w:rPr>
        <w:t xml:space="preserve">The input of the town hall participants as well as that of parties who completed the online </w:t>
      </w:r>
      <w:r w:rsidR="00646569" w:rsidRPr="00946B92">
        <w:rPr>
          <w:rFonts w:ascii="Arial" w:hAnsi="Arial" w:cs="Arial"/>
          <w:color w:val="000000"/>
        </w:rPr>
        <w:t>or hard</w:t>
      </w:r>
      <w:r w:rsidR="00AF67BA" w:rsidRPr="00946B92">
        <w:rPr>
          <w:rFonts w:ascii="Arial" w:hAnsi="Arial" w:cs="Arial"/>
          <w:color w:val="000000"/>
        </w:rPr>
        <w:t xml:space="preserve"> </w:t>
      </w:r>
      <w:r w:rsidR="00646569" w:rsidRPr="00946B92">
        <w:rPr>
          <w:rFonts w:ascii="Arial" w:hAnsi="Arial" w:cs="Arial"/>
          <w:color w:val="000000"/>
        </w:rPr>
        <w:t xml:space="preserve">copy version of the </w:t>
      </w:r>
      <w:r w:rsidRPr="00946B92">
        <w:rPr>
          <w:rFonts w:ascii="Arial" w:hAnsi="Arial" w:cs="Arial"/>
          <w:color w:val="000000"/>
        </w:rPr>
        <w:t>N</w:t>
      </w:r>
      <w:r w:rsidRPr="00946B92">
        <w:rPr>
          <w:rFonts w:ascii="Arial" w:hAnsi="Arial" w:cs="Arial"/>
          <w:color w:val="000000"/>
          <w:vertAlign w:val="subscript"/>
        </w:rPr>
        <w:t>2</w:t>
      </w:r>
      <w:r w:rsidR="003D050F" w:rsidRPr="00946B92">
        <w:rPr>
          <w:rFonts w:ascii="Arial" w:hAnsi="Arial" w:cs="Arial"/>
          <w:color w:val="000000"/>
        </w:rPr>
        <w:t xml:space="preserve"> </w:t>
      </w:r>
      <w:r w:rsidRPr="00946B92">
        <w:rPr>
          <w:rFonts w:ascii="Arial" w:hAnsi="Arial" w:cs="Arial"/>
          <w:color w:val="000000"/>
        </w:rPr>
        <w:t>fixation survey (</w:t>
      </w:r>
      <w:hyperlink r:id="rId6" w:history="1">
        <w:r w:rsidRPr="00C437DF">
          <w:rPr>
            <w:rStyle w:val="Hyperlink"/>
            <w:rFonts w:ascii="Arial" w:hAnsi="Arial" w:cs="Arial"/>
          </w:rPr>
          <w:t>link</w:t>
        </w:r>
      </w:hyperlink>
      <w:r w:rsidRPr="00946B92">
        <w:rPr>
          <w:rFonts w:ascii="Arial" w:hAnsi="Arial" w:cs="Arial"/>
          <w:color w:val="000000"/>
        </w:rPr>
        <w:t xml:space="preserve">) is summarized below. </w:t>
      </w:r>
    </w:p>
    <w:p w14:paraId="0051436C" w14:textId="0AC5AC0C" w:rsidR="007F6FD5" w:rsidRPr="00946B92" w:rsidRDefault="00C40480" w:rsidP="005175F7">
      <w:pPr>
        <w:ind w:left="810"/>
        <w:jc w:val="both"/>
        <w:rPr>
          <w:rFonts w:ascii="Arial" w:hAnsi="Arial" w:cs="Arial"/>
          <w:color w:val="000000"/>
        </w:rPr>
      </w:pPr>
      <w:r w:rsidRPr="00946B92">
        <w:rPr>
          <w:rFonts w:ascii="Arial" w:hAnsi="Arial" w:cs="Arial"/>
          <w:color w:val="000000"/>
        </w:rPr>
        <w:t xml:space="preserve">Based on community consensus, a </w:t>
      </w:r>
      <w:r w:rsidR="00285A47" w:rsidRPr="00946B92">
        <w:rPr>
          <w:rFonts w:ascii="Arial" w:hAnsi="Arial" w:cs="Arial"/>
          <w:color w:val="000000"/>
        </w:rPr>
        <w:t xml:space="preserve">working group of </w:t>
      </w:r>
      <w:r w:rsidRPr="00946B92">
        <w:rPr>
          <w:rFonts w:ascii="Arial" w:hAnsi="Arial" w:cs="Arial"/>
          <w:color w:val="000000"/>
        </w:rPr>
        <w:t xml:space="preserve">invited and self-appointed </w:t>
      </w:r>
      <w:r w:rsidR="00285A47" w:rsidRPr="00946B92">
        <w:rPr>
          <w:rFonts w:ascii="Arial" w:hAnsi="Arial" w:cs="Arial"/>
          <w:color w:val="000000"/>
        </w:rPr>
        <w:t xml:space="preserve">members </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fixation working group</w:t>
      </w:r>
      <w:r w:rsidR="00A90A21" w:rsidRPr="00946B92">
        <w:rPr>
          <w:rFonts w:ascii="Arial" w:hAnsi="Arial" w:cs="Arial"/>
          <w:color w:val="000000"/>
        </w:rPr>
        <w:t>:</w:t>
      </w:r>
      <w:r w:rsidR="00A90A21" w:rsidRPr="00946B92">
        <w:rPr>
          <w:rFonts w:ascii="Arial" w:hAnsi="Arial" w:cs="Arial"/>
          <w:color w:val="000000" w:themeColor="text1"/>
          <w:kern w:val="24"/>
        </w:rPr>
        <w:t xml:space="preserve"> </w:t>
      </w:r>
      <w:hyperlink r:id="rId7" w:history="1">
        <w:r w:rsidR="00A90A21" w:rsidRPr="00C437DF">
          <w:rPr>
            <w:rStyle w:val="Hyperlink"/>
            <w:rFonts w:ascii="Arial" w:hAnsi="Arial" w:cs="Arial"/>
          </w:rPr>
          <w:t>https://www.us-ocb.org/n-fixation-working-group/</w:t>
        </w:r>
      </w:hyperlink>
      <w:r w:rsidRPr="00946B92">
        <w:rPr>
          <w:rFonts w:ascii="Arial" w:hAnsi="Arial" w:cs="Arial"/>
          <w:color w:val="000000"/>
        </w:rPr>
        <w:t xml:space="preserve">) will explore available techniques and data to develop a “living document” summarizing </w:t>
      </w:r>
      <w:r w:rsidR="00861A54" w:rsidRPr="00946B92">
        <w:rPr>
          <w:rFonts w:ascii="Arial" w:hAnsi="Arial" w:cs="Arial"/>
          <w:color w:val="000000"/>
        </w:rPr>
        <w:t>data-</w:t>
      </w:r>
      <w:r w:rsidRPr="00946B92">
        <w:rPr>
          <w:rFonts w:ascii="Arial" w:hAnsi="Arial" w:cs="Arial"/>
          <w:color w:val="000000"/>
        </w:rPr>
        <w:t>informed recommendations for “best practices” in N</w:t>
      </w:r>
      <w:r w:rsidRPr="00946B92">
        <w:rPr>
          <w:rFonts w:ascii="Arial" w:hAnsi="Arial" w:cs="Arial"/>
          <w:color w:val="000000"/>
          <w:vertAlign w:val="subscript"/>
        </w:rPr>
        <w:t>2</w:t>
      </w:r>
      <w:r w:rsidRPr="00946B92">
        <w:rPr>
          <w:rFonts w:ascii="Arial" w:hAnsi="Arial" w:cs="Arial"/>
          <w:color w:val="000000"/>
        </w:rPr>
        <w:t xml:space="preserve"> fixation studies. The document will </w:t>
      </w:r>
      <w:r w:rsidR="00A31FF6" w:rsidRPr="00946B92">
        <w:rPr>
          <w:rFonts w:ascii="Arial" w:hAnsi="Arial" w:cs="Arial"/>
          <w:color w:val="000000"/>
        </w:rPr>
        <w:t>put forth</w:t>
      </w:r>
      <w:r w:rsidRPr="00946B92">
        <w:rPr>
          <w:rFonts w:ascii="Arial" w:hAnsi="Arial" w:cs="Arial"/>
          <w:color w:val="000000"/>
        </w:rPr>
        <w:t xml:space="preserve"> recommendations </w:t>
      </w:r>
      <w:r w:rsidR="00861A54" w:rsidRPr="00946B92">
        <w:rPr>
          <w:rFonts w:ascii="Arial" w:hAnsi="Arial" w:cs="Arial"/>
          <w:color w:val="000000"/>
        </w:rPr>
        <w:t>regarding</w:t>
      </w:r>
      <w:r w:rsidRPr="00946B92">
        <w:rPr>
          <w:rFonts w:ascii="Arial" w:hAnsi="Arial" w:cs="Arial"/>
          <w:color w:val="000000"/>
        </w:rPr>
        <w:t xml:space="preserve"> best practices in </w:t>
      </w:r>
      <w:r w:rsidRPr="00946B92">
        <w:rPr>
          <w:rFonts w:ascii="Arial" w:hAnsi="Arial" w:cs="Arial"/>
          <w:b/>
          <w:color w:val="000000"/>
        </w:rPr>
        <w:t>(</w:t>
      </w:r>
      <w:r w:rsidR="007F6FD5" w:rsidRPr="00946B92">
        <w:rPr>
          <w:rFonts w:ascii="Arial" w:hAnsi="Arial" w:cs="Arial"/>
          <w:b/>
          <w:color w:val="000000"/>
        </w:rPr>
        <w:t>1</w:t>
      </w:r>
      <w:r w:rsidRPr="00946B92">
        <w:rPr>
          <w:rFonts w:ascii="Arial" w:hAnsi="Arial" w:cs="Arial"/>
          <w:b/>
          <w:color w:val="000000"/>
        </w:rPr>
        <w:t>)</w:t>
      </w:r>
      <w:r w:rsidRPr="00946B92">
        <w:rPr>
          <w:rFonts w:ascii="Arial" w:hAnsi="Arial" w:cs="Arial"/>
          <w:color w:val="000000"/>
        </w:rPr>
        <w:t xml:space="preserve"> N</w:t>
      </w:r>
      <w:r w:rsidRPr="00946B92">
        <w:rPr>
          <w:rFonts w:ascii="Arial" w:hAnsi="Arial" w:cs="Arial"/>
          <w:color w:val="000000"/>
          <w:vertAlign w:val="subscript"/>
        </w:rPr>
        <w:t>2</w:t>
      </w:r>
      <w:r w:rsidRPr="00946B92">
        <w:rPr>
          <w:rFonts w:ascii="Arial" w:hAnsi="Arial" w:cs="Arial"/>
          <w:color w:val="000000"/>
        </w:rPr>
        <w:t xml:space="preserve"> fixation rates estimates with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tracer </w:t>
      </w:r>
      <w:r w:rsidR="00861A54" w:rsidRPr="00946B92">
        <w:rPr>
          <w:rFonts w:ascii="Arial" w:hAnsi="Arial" w:cs="Arial"/>
          <w:color w:val="000000"/>
        </w:rPr>
        <w:t xml:space="preserve">incubations </w:t>
      </w:r>
      <w:r w:rsidRPr="00946B92">
        <w:rPr>
          <w:rFonts w:ascii="Arial" w:hAnsi="Arial" w:cs="Arial"/>
          <w:color w:val="000000"/>
        </w:rPr>
        <w:t xml:space="preserve">and </w:t>
      </w:r>
      <w:r w:rsidRPr="00946B92">
        <w:rPr>
          <w:rFonts w:ascii="Arial" w:hAnsi="Arial" w:cs="Arial"/>
          <w:b/>
          <w:color w:val="000000"/>
        </w:rPr>
        <w:t>(</w:t>
      </w:r>
      <w:r w:rsidR="007F6FD5" w:rsidRPr="00946B92">
        <w:rPr>
          <w:rFonts w:ascii="Arial" w:hAnsi="Arial" w:cs="Arial"/>
          <w:b/>
          <w:color w:val="000000"/>
        </w:rPr>
        <w:t>2</w:t>
      </w:r>
      <w:r w:rsidRPr="00946B92">
        <w:rPr>
          <w:rFonts w:ascii="Arial" w:hAnsi="Arial" w:cs="Arial"/>
          <w:b/>
          <w:color w:val="000000"/>
        </w:rPr>
        <w:t>)</w:t>
      </w:r>
      <w:r w:rsidRPr="00946B92">
        <w:rPr>
          <w:rFonts w:ascii="Arial" w:hAnsi="Arial" w:cs="Arial"/>
          <w:color w:val="000000"/>
        </w:rPr>
        <w:t xml:space="preserve"> evaluation of </w:t>
      </w:r>
      <w:r w:rsidR="00646569" w:rsidRPr="00946B92">
        <w:rPr>
          <w:rFonts w:ascii="Arial" w:hAnsi="Arial" w:cs="Arial"/>
          <w:color w:val="000000"/>
        </w:rPr>
        <w:t>diazotroph</w:t>
      </w:r>
      <w:r w:rsidRPr="00946B92">
        <w:rPr>
          <w:rFonts w:ascii="Arial" w:hAnsi="Arial" w:cs="Arial"/>
          <w:color w:val="000000"/>
        </w:rPr>
        <w:t xml:space="preserve"> identity, abundance and activity. </w:t>
      </w:r>
    </w:p>
    <w:p w14:paraId="1A031C80" w14:textId="4894404E" w:rsidR="00C40480" w:rsidRPr="00946B92" w:rsidRDefault="003D050F" w:rsidP="005175F7">
      <w:pPr>
        <w:ind w:left="810"/>
        <w:jc w:val="both"/>
        <w:rPr>
          <w:rFonts w:ascii="Arial" w:hAnsi="Arial" w:cs="Arial"/>
          <w:color w:val="000000"/>
        </w:rPr>
      </w:pPr>
      <w:r w:rsidRPr="00946B92">
        <w:rPr>
          <w:rFonts w:ascii="Arial" w:hAnsi="Arial" w:cs="Arial"/>
          <w:color w:val="000000"/>
        </w:rPr>
        <w:t xml:space="preserve">The </w:t>
      </w:r>
      <w:r w:rsidR="00C65EBC" w:rsidRPr="00946B92">
        <w:rPr>
          <w:rFonts w:ascii="Arial" w:hAnsi="Arial" w:cs="Arial"/>
          <w:color w:val="000000"/>
        </w:rPr>
        <w:t xml:space="preserve">“living </w:t>
      </w:r>
      <w:r w:rsidR="00C40480" w:rsidRPr="00946B92">
        <w:rPr>
          <w:rFonts w:ascii="Arial" w:hAnsi="Arial" w:cs="Arial"/>
          <w:color w:val="000000"/>
        </w:rPr>
        <w:t>document</w:t>
      </w:r>
      <w:r w:rsidR="00C65EBC" w:rsidRPr="00946B92">
        <w:rPr>
          <w:rFonts w:ascii="Arial" w:hAnsi="Arial" w:cs="Arial"/>
          <w:color w:val="000000"/>
        </w:rPr>
        <w:t>”</w:t>
      </w:r>
      <w:r w:rsidR="00C40480" w:rsidRPr="00946B92">
        <w:rPr>
          <w:rFonts w:ascii="Arial" w:hAnsi="Arial" w:cs="Arial"/>
          <w:color w:val="000000"/>
        </w:rPr>
        <w:t xml:space="preserve"> </w:t>
      </w:r>
      <w:r w:rsidRPr="00946B92">
        <w:rPr>
          <w:rFonts w:ascii="Arial" w:hAnsi="Arial" w:cs="Arial"/>
          <w:color w:val="000000"/>
        </w:rPr>
        <w:t>is envisioned to enable iterative inputs from the community to publicize new insights pertine</w:t>
      </w:r>
      <w:bookmarkStart w:id="0" w:name="_GoBack"/>
      <w:bookmarkEnd w:id="0"/>
      <w:r w:rsidRPr="00946B92">
        <w:rPr>
          <w:rFonts w:ascii="Arial" w:hAnsi="Arial" w:cs="Arial"/>
          <w:color w:val="000000"/>
        </w:rPr>
        <w:t xml:space="preserve">nt to </w:t>
      </w:r>
      <w:r w:rsidR="00C65EBC" w:rsidRPr="00946B92">
        <w:rPr>
          <w:rFonts w:ascii="Arial" w:hAnsi="Arial" w:cs="Arial"/>
          <w:color w:val="000000"/>
        </w:rPr>
        <w:t>improvement</w:t>
      </w:r>
      <w:r w:rsidRPr="00946B92">
        <w:rPr>
          <w:rFonts w:ascii="Arial" w:hAnsi="Arial" w:cs="Arial"/>
          <w:color w:val="000000"/>
        </w:rPr>
        <w:t xml:space="preserve"> of existing methodology and data analysis.</w:t>
      </w:r>
    </w:p>
    <w:p w14:paraId="4EC2908D" w14:textId="0E80ED53" w:rsidR="00285A47" w:rsidRPr="00946B92" w:rsidRDefault="00861A54" w:rsidP="005175F7">
      <w:pPr>
        <w:ind w:left="810"/>
        <w:jc w:val="both"/>
        <w:rPr>
          <w:rFonts w:ascii="Arial" w:hAnsi="Arial" w:cs="Arial"/>
          <w:color w:val="000000"/>
        </w:rPr>
      </w:pPr>
      <w:r w:rsidRPr="00946B92">
        <w:rPr>
          <w:rFonts w:ascii="Arial" w:hAnsi="Arial" w:cs="Arial"/>
          <w:color w:val="000000"/>
        </w:rPr>
        <w:t xml:space="preserve">The working group will convene in </w:t>
      </w:r>
      <w:r w:rsidR="00CA6F5E">
        <w:rPr>
          <w:rFonts w:ascii="Arial" w:hAnsi="Arial" w:cs="Arial"/>
          <w:color w:val="000000"/>
        </w:rPr>
        <w:t>Spring</w:t>
      </w:r>
      <w:r w:rsidR="00CA6F5E" w:rsidRPr="00946B92">
        <w:rPr>
          <w:rFonts w:ascii="Arial" w:hAnsi="Arial" w:cs="Arial"/>
          <w:color w:val="000000"/>
        </w:rPr>
        <w:t xml:space="preserve"> </w:t>
      </w:r>
      <w:r w:rsidRPr="00946B92">
        <w:rPr>
          <w:rFonts w:ascii="Arial" w:hAnsi="Arial" w:cs="Arial"/>
          <w:color w:val="000000"/>
        </w:rPr>
        <w:t xml:space="preserve">2018 to generate </w:t>
      </w:r>
      <w:r w:rsidR="007602DF" w:rsidRPr="00946B92">
        <w:rPr>
          <w:rFonts w:ascii="Arial" w:hAnsi="Arial" w:cs="Arial"/>
          <w:color w:val="000000"/>
        </w:rPr>
        <w:t xml:space="preserve">an </w:t>
      </w:r>
      <w:r w:rsidRPr="00946B92">
        <w:rPr>
          <w:rFonts w:ascii="Arial" w:hAnsi="Arial" w:cs="Arial"/>
          <w:color w:val="000000"/>
        </w:rPr>
        <w:t xml:space="preserve">outline of the first iteration of the living document tentatively titled </w:t>
      </w:r>
      <w:r w:rsidRPr="00946B92">
        <w:rPr>
          <w:rFonts w:ascii="Arial" w:hAnsi="Arial" w:cs="Arial"/>
          <w:i/>
          <w:color w:val="000000"/>
        </w:rPr>
        <w:t xml:space="preserve">Best Practices in </w:t>
      </w:r>
      <w:r w:rsidR="007F6FD5" w:rsidRPr="00946B92">
        <w:rPr>
          <w:rFonts w:ascii="Arial" w:hAnsi="Arial" w:cs="Arial"/>
          <w:i/>
          <w:color w:val="000000"/>
        </w:rPr>
        <w:t xml:space="preserve">Marine </w:t>
      </w:r>
      <w:r w:rsidRPr="00946B92">
        <w:rPr>
          <w:rFonts w:ascii="Arial" w:hAnsi="Arial" w:cs="Arial"/>
          <w:i/>
          <w:color w:val="000000"/>
        </w:rPr>
        <w:t>N</w:t>
      </w:r>
      <w:r w:rsidRPr="00946B92">
        <w:rPr>
          <w:rFonts w:ascii="Arial" w:hAnsi="Arial" w:cs="Arial"/>
          <w:i/>
          <w:color w:val="000000"/>
          <w:vertAlign w:val="subscript"/>
        </w:rPr>
        <w:t>2</w:t>
      </w:r>
      <w:r w:rsidRPr="00946B92">
        <w:rPr>
          <w:rFonts w:ascii="Arial" w:hAnsi="Arial" w:cs="Arial"/>
          <w:i/>
          <w:color w:val="000000"/>
        </w:rPr>
        <w:t xml:space="preserve"> Fixation Studies</w:t>
      </w:r>
      <w:r w:rsidRPr="00946B92">
        <w:rPr>
          <w:rFonts w:ascii="Arial" w:hAnsi="Arial" w:cs="Arial"/>
          <w:color w:val="000000"/>
        </w:rPr>
        <w:t>.</w:t>
      </w:r>
    </w:p>
    <w:p w14:paraId="4A121A39" w14:textId="051200E3" w:rsidR="00BD6D3A" w:rsidRPr="00946B92" w:rsidRDefault="00A90A21" w:rsidP="005175F7">
      <w:pPr>
        <w:pStyle w:val="ListParagraph"/>
        <w:numPr>
          <w:ilvl w:val="0"/>
          <w:numId w:val="1"/>
        </w:numPr>
        <w:spacing w:after="100"/>
        <w:jc w:val="both"/>
        <w:rPr>
          <w:rFonts w:ascii="Arial" w:hAnsi="Arial" w:cs="Arial"/>
          <w:color w:val="000000"/>
        </w:rPr>
      </w:pPr>
      <w:r w:rsidRPr="00946B92">
        <w:rPr>
          <w:rFonts w:ascii="Arial" w:hAnsi="Arial" w:cs="Arial"/>
          <w:b/>
          <w:color w:val="000000"/>
        </w:rPr>
        <w:t>Brief presentations summarizing current practices</w:t>
      </w:r>
      <w:r w:rsidR="00BD6D3A" w:rsidRPr="00946B92">
        <w:rPr>
          <w:rFonts w:ascii="Arial" w:hAnsi="Arial" w:cs="Arial"/>
          <w:b/>
          <w:color w:val="000000"/>
        </w:rPr>
        <w:t xml:space="preserve"> and inherent limitations </w:t>
      </w:r>
    </w:p>
    <w:p w14:paraId="6C40DC0B" w14:textId="7B50B4CA" w:rsidR="00285A47" w:rsidRPr="00946B92" w:rsidRDefault="00A90A21" w:rsidP="005175F7">
      <w:pPr>
        <w:pStyle w:val="ListParagraph"/>
        <w:numPr>
          <w:ilvl w:val="0"/>
          <w:numId w:val="7"/>
        </w:numPr>
        <w:spacing w:after="100"/>
        <w:jc w:val="both"/>
        <w:rPr>
          <w:rFonts w:ascii="Arial" w:hAnsi="Arial" w:cs="Arial"/>
          <w:color w:val="000000"/>
        </w:rPr>
      </w:pPr>
      <w:r w:rsidRPr="00946B92">
        <w:rPr>
          <w:rFonts w:ascii="Arial" w:hAnsi="Arial" w:cs="Arial"/>
          <w:i/>
          <w:color w:val="000000"/>
        </w:rPr>
        <w:t>The Rate of Production: N</w:t>
      </w:r>
      <w:r w:rsidRPr="00946B92">
        <w:rPr>
          <w:rFonts w:ascii="Arial" w:hAnsi="Arial" w:cs="Arial"/>
          <w:i/>
          <w:color w:val="000000"/>
          <w:vertAlign w:val="subscript"/>
        </w:rPr>
        <w:t>2</w:t>
      </w:r>
      <w:r w:rsidRPr="00946B92">
        <w:rPr>
          <w:rFonts w:ascii="Arial" w:hAnsi="Arial" w:cs="Arial"/>
          <w:i/>
          <w:color w:val="000000"/>
        </w:rPr>
        <w:t xml:space="preserve">-Fixation Measurements. </w:t>
      </w:r>
      <w:proofErr w:type="spellStart"/>
      <w:r w:rsidR="00C65EBC" w:rsidRPr="00946B92">
        <w:rPr>
          <w:rFonts w:ascii="Arial" w:hAnsi="Arial" w:cs="Arial"/>
          <w:color w:val="000000"/>
        </w:rPr>
        <w:t>Angelicque</w:t>
      </w:r>
      <w:proofErr w:type="spellEnd"/>
      <w:r w:rsidR="00C65EBC" w:rsidRPr="00946B92">
        <w:rPr>
          <w:rFonts w:ascii="Arial" w:hAnsi="Arial" w:cs="Arial"/>
          <w:color w:val="000000"/>
        </w:rPr>
        <w:t xml:space="preserve"> White</w:t>
      </w:r>
      <w:r w:rsidRPr="00946B92">
        <w:rPr>
          <w:rFonts w:ascii="Arial" w:hAnsi="Arial" w:cs="Arial"/>
          <w:color w:val="000000"/>
        </w:rPr>
        <w:t xml:space="preserve"> </w:t>
      </w:r>
      <w:r w:rsidR="00E877CF">
        <w:rPr>
          <w:rFonts w:ascii="Arial" w:hAnsi="Arial" w:cs="Arial"/>
          <w:color w:val="000000"/>
        </w:rPr>
        <w:t xml:space="preserve">(Oregon State </w:t>
      </w:r>
      <w:proofErr w:type="spellStart"/>
      <w:r w:rsidR="00E877CF">
        <w:rPr>
          <w:rFonts w:ascii="Arial" w:hAnsi="Arial" w:cs="Arial"/>
          <w:color w:val="000000"/>
        </w:rPr>
        <w:t>Univ</w:t>
      </w:r>
      <w:proofErr w:type="spellEnd"/>
      <w:r w:rsidR="00E877CF">
        <w:rPr>
          <w:rFonts w:ascii="Arial" w:hAnsi="Arial" w:cs="Arial"/>
          <w:color w:val="000000"/>
        </w:rPr>
        <w:t xml:space="preserve">). </w:t>
      </w:r>
      <w:r w:rsidRPr="00946B92">
        <w:rPr>
          <w:rFonts w:ascii="Arial" w:hAnsi="Arial" w:cs="Arial"/>
          <w:color w:val="000000"/>
        </w:rPr>
        <w:t>(</w:t>
      </w:r>
      <w:hyperlink r:id="rId8" w:history="1">
        <w:r w:rsidRPr="00D50B26">
          <w:rPr>
            <w:rStyle w:val="Hyperlink"/>
            <w:rFonts w:ascii="Arial" w:hAnsi="Arial" w:cs="Arial"/>
          </w:rPr>
          <w:t>link to slides</w:t>
        </w:r>
      </w:hyperlink>
      <w:r w:rsidRPr="00946B92">
        <w:rPr>
          <w:rFonts w:ascii="Arial" w:hAnsi="Arial" w:cs="Arial"/>
          <w:color w:val="000000"/>
        </w:rPr>
        <w:t>)</w:t>
      </w:r>
    </w:p>
    <w:p w14:paraId="5BAD95F0" w14:textId="126F20C1" w:rsidR="00BD6D3A" w:rsidRPr="00946B92" w:rsidRDefault="00A90A21" w:rsidP="005175F7">
      <w:pPr>
        <w:pStyle w:val="ListParagraph"/>
        <w:numPr>
          <w:ilvl w:val="0"/>
          <w:numId w:val="7"/>
        </w:numPr>
        <w:spacing w:before="200" w:after="100"/>
        <w:jc w:val="both"/>
        <w:rPr>
          <w:rFonts w:ascii="Arial" w:hAnsi="Arial" w:cs="Arial"/>
          <w:color w:val="5B9BD5" w:themeColor="accent1"/>
        </w:rPr>
      </w:pPr>
      <w:r w:rsidRPr="00946B92">
        <w:rPr>
          <w:rFonts w:ascii="Arial" w:hAnsi="Arial" w:cs="Arial"/>
          <w:i/>
        </w:rPr>
        <w:t>Advances in Understanding of the Activity and Diversity of Nitrogen-Fixing Organisms in the Marine Enviro</w:t>
      </w:r>
      <w:r w:rsidR="007602DF" w:rsidRPr="00946B92">
        <w:rPr>
          <w:rFonts w:ascii="Arial" w:hAnsi="Arial" w:cs="Arial"/>
          <w:i/>
        </w:rPr>
        <w:t>n</w:t>
      </w:r>
      <w:r w:rsidRPr="00946B92">
        <w:rPr>
          <w:rFonts w:ascii="Arial" w:hAnsi="Arial" w:cs="Arial"/>
          <w:i/>
        </w:rPr>
        <w:t>me</w:t>
      </w:r>
      <w:r w:rsidR="007602DF" w:rsidRPr="00946B92">
        <w:rPr>
          <w:rFonts w:ascii="Arial" w:hAnsi="Arial" w:cs="Arial"/>
          <w:i/>
        </w:rPr>
        <w:t>n</w:t>
      </w:r>
      <w:r w:rsidRPr="00946B92">
        <w:rPr>
          <w:rFonts w:ascii="Arial" w:hAnsi="Arial" w:cs="Arial"/>
          <w:i/>
        </w:rPr>
        <w:t xml:space="preserve">t: Who </w:t>
      </w:r>
      <w:proofErr w:type="spellStart"/>
      <w:r w:rsidRPr="00946B92">
        <w:rPr>
          <w:rFonts w:ascii="Arial" w:hAnsi="Arial" w:cs="Arial"/>
          <w:i/>
        </w:rPr>
        <w:t>Dunnit</w:t>
      </w:r>
      <w:proofErr w:type="spellEnd"/>
      <w:r w:rsidRPr="00946B92">
        <w:rPr>
          <w:rFonts w:ascii="Arial" w:hAnsi="Arial" w:cs="Arial"/>
          <w:i/>
        </w:rPr>
        <w:t xml:space="preserve"> (and how fast are they doing it)</w:t>
      </w:r>
      <w:r w:rsidRPr="00946B92">
        <w:rPr>
          <w:rFonts w:ascii="Arial" w:hAnsi="Arial" w:cs="Arial"/>
        </w:rPr>
        <w:t>. Jo</w:t>
      </w:r>
      <w:r w:rsidR="00646569" w:rsidRPr="00946B92">
        <w:rPr>
          <w:rFonts w:ascii="Arial" w:hAnsi="Arial" w:cs="Arial"/>
        </w:rPr>
        <w:t>n</w:t>
      </w:r>
      <w:r w:rsidRPr="00946B92">
        <w:rPr>
          <w:rFonts w:ascii="Arial" w:hAnsi="Arial" w:cs="Arial"/>
        </w:rPr>
        <w:t xml:space="preserve">athan P. </w:t>
      </w:r>
      <w:proofErr w:type="spellStart"/>
      <w:r w:rsidRPr="00946B92">
        <w:rPr>
          <w:rFonts w:ascii="Arial" w:hAnsi="Arial" w:cs="Arial"/>
        </w:rPr>
        <w:t>Zehr</w:t>
      </w:r>
      <w:proofErr w:type="spellEnd"/>
      <w:r w:rsidR="00646569" w:rsidRPr="00946B92">
        <w:rPr>
          <w:rFonts w:ascii="Arial" w:hAnsi="Arial" w:cs="Arial"/>
        </w:rPr>
        <w:t xml:space="preserve"> (UC Santa Cruz)</w:t>
      </w:r>
      <w:r w:rsidRPr="00946B92">
        <w:rPr>
          <w:rFonts w:ascii="Arial" w:hAnsi="Arial" w:cs="Arial"/>
        </w:rPr>
        <w:t xml:space="preserve">. </w:t>
      </w:r>
      <w:r w:rsidRPr="00946B92">
        <w:rPr>
          <w:rFonts w:ascii="Arial" w:hAnsi="Arial" w:cs="Arial"/>
          <w:color w:val="5B9BD5" w:themeColor="accent1"/>
        </w:rPr>
        <w:t>(link to slides)</w:t>
      </w:r>
    </w:p>
    <w:p w14:paraId="39F8D431" w14:textId="77777777" w:rsidR="00BD6D3A" w:rsidRPr="00946B92" w:rsidRDefault="00BD6D3A" w:rsidP="005175F7">
      <w:pPr>
        <w:pStyle w:val="ListParagraph"/>
        <w:spacing w:before="200" w:after="120"/>
        <w:ind w:left="1080"/>
        <w:jc w:val="both"/>
        <w:rPr>
          <w:rFonts w:ascii="Arial" w:hAnsi="Arial" w:cs="Arial"/>
          <w:color w:val="5B9BD5" w:themeColor="accent1"/>
        </w:rPr>
      </w:pPr>
    </w:p>
    <w:p w14:paraId="01459165" w14:textId="031D3032" w:rsidR="00BD6D3A" w:rsidRPr="00946B92" w:rsidRDefault="00BD6D3A" w:rsidP="005175F7">
      <w:pPr>
        <w:pStyle w:val="ListParagraph"/>
        <w:numPr>
          <w:ilvl w:val="0"/>
          <w:numId w:val="1"/>
        </w:numPr>
        <w:spacing w:after="100"/>
        <w:jc w:val="both"/>
        <w:rPr>
          <w:rFonts w:ascii="Arial" w:hAnsi="Arial" w:cs="Arial"/>
          <w:b/>
        </w:rPr>
      </w:pPr>
      <w:r w:rsidRPr="00946B92">
        <w:rPr>
          <w:rFonts w:ascii="Arial" w:hAnsi="Arial" w:cs="Arial"/>
          <w:b/>
        </w:rPr>
        <w:t>N</w:t>
      </w:r>
      <w:r w:rsidRPr="00946B92">
        <w:rPr>
          <w:rFonts w:ascii="Arial" w:hAnsi="Arial" w:cs="Arial"/>
          <w:b/>
          <w:vertAlign w:val="subscript"/>
        </w:rPr>
        <w:t>2</w:t>
      </w:r>
      <w:r w:rsidRPr="00946B92">
        <w:rPr>
          <w:rFonts w:ascii="Arial" w:hAnsi="Arial" w:cs="Arial"/>
          <w:b/>
        </w:rPr>
        <w:t xml:space="preserve"> fixation rates from </w:t>
      </w:r>
      <w:r w:rsidRPr="00946B92">
        <w:rPr>
          <w:rFonts w:ascii="Arial" w:hAnsi="Arial" w:cs="Arial"/>
          <w:b/>
          <w:vertAlign w:val="superscript"/>
        </w:rPr>
        <w:t>15</w:t>
      </w:r>
      <w:r w:rsidRPr="00946B92">
        <w:rPr>
          <w:rFonts w:ascii="Arial" w:hAnsi="Arial" w:cs="Arial"/>
          <w:b/>
        </w:rPr>
        <w:t>N</w:t>
      </w:r>
      <w:r w:rsidRPr="00946B92">
        <w:rPr>
          <w:rFonts w:ascii="Arial" w:hAnsi="Arial" w:cs="Arial"/>
          <w:b/>
          <w:vertAlign w:val="subscript"/>
        </w:rPr>
        <w:t>2</w:t>
      </w:r>
      <w:r w:rsidRPr="00946B92">
        <w:rPr>
          <w:rFonts w:ascii="Arial" w:hAnsi="Arial" w:cs="Arial"/>
          <w:b/>
        </w:rPr>
        <w:t xml:space="preserve"> tracer incubations: </w:t>
      </w:r>
      <w:r w:rsidR="000D7397">
        <w:rPr>
          <w:rFonts w:ascii="Arial" w:hAnsi="Arial" w:cs="Arial"/>
          <w:b/>
        </w:rPr>
        <w:t>M</w:t>
      </w:r>
      <w:r w:rsidR="000D7397" w:rsidRPr="00946B92">
        <w:rPr>
          <w:rFonts w:ascii="Arial" w:hAnsi="Arial" w:cs="Arial"/>
          <w:b/>
        </w:rPr>
        <w:t xml:space="preserve">ethods </w:t>
      </w:r>
      <w:r w:rsidRPr="00946B92">
        <w:rPr>
          <w:rFonts w:ascii="Arial" w:hAnsi="Arial" w:cs="Arial"/>
          <w:b/>
        </w:rPr>
        <w:t>and limitations</w:t>
      </w:r>
    </w:p>
    <w:p w14:paraId="2C3F2739" w14:textId="0747846F" w:rsidR="00BD6D3A" w:rsidRPr="00946B92" w:rsidRDefault="007F6FD5" w:rsidP="005175F7">
      <w:pPr>
        <w:ind w:left="720"/>
        <w:jc w:val="both"/>
        <w:rPr>
          <w:rFonts w:ascii="Arial" w:hAnsi="Arial" w:cs="Arial"/>
          <w:color w:val="000000"/>
        </w:rPr>
      </w:pPr>
      <w:r w:rsidRPr="00946B92">
        <w:rPr>
          <w:rFonts w:ascii="Arial" w:hAnsi="Arial" w:cs="Arial"/>
          <w:color w:val="000000"/>
        </w:rPr>
        <w:lastRenderedPageBreak/>
        <w:t>Select participants discussed, among other topic</w:t>
      </w:r>
      <w:r w:rsidR="003E2DF2" w:rsidRPr="00946B92">
        <w:rPr>
          <w:rFonts w:ascii="Arial" w:hAnsi="Arial" w:cs="Arial"/>
          <w:color w:val="000000"/>
        </w:rPr>
        <w:t>s</w:t>
      </w:r>
      <w:r w:rsidRPr="00946B92">
        <w:rPr>
          <w:rFonts w:ascii="Arial" w:hAnsi="Arial" w:cs="Arial"/>
          <w:color w:val="000000"/>
        </w:rPr>
        <w:t>, t</w:t>
      </w:r>
      <w:r w:rsidR="00646569" w:rsidRPr="00946B92">
        <w:rPr>
          <w:rFonts w:ascii="Arial" w:hAnsi="Arial" w:cs="Arial"/>
          <w:color w:val="000000"/>
        </w:rPr>
        <w:t xml:space="preserve">he following </w:t>
      </w:r>
      <w:r w:rsidR="003E2DF2" w:rsidRPr="00946B92">
        <w:rPr>
          <w:rFonts w:ascii="Arial" w:hAnsi="Arial" w:cs="Arial"/>
          <w:color w:val="000000"/>
        </w:rPr>
        <w:t>issues, concerns and areas</w:t>
      </w:r>
      <w:r w:rsidR="00646569" w:rsidRPr="00946B92">
        <w:rPr>
          <w:rFonts w:ascii="Arial" w:hAnsi="Arial" w:cs="Arial"/>
          <w:color w:val="000000"/>
        </w:rPr>
        <w:t xml:space="preserve"> </w:t>
      </w:r>
      <w:r w:rsidR="003E2DF2" w:rsidRPr="00946B92">
        <w:rPr>
          <w:rFonts w:ascii="Arial" w:hAnsi="Arial" w:cs="Arial"/>
          <w:color w:val="000000"/>
        </w:rPr>
        <w:t>for improvement. T</w:t>
      </w:r>
      <w:r w:rsidR="00BD6D3A" w:rsidRPr="00946B92">
        <w:rPr>
          <w:rFonts w:ascii="Arial" w:hAnsi="Arial" w:cs="Arial"/>
          <w:color w:val="000000"/>
        </w:rPr>
        <w:t xml:space="preserve">here are currently three distinct methods used by </w:t>
      </w:r>
      <w:r w:rsidR="006E1616" w:rsidRPr="00946B92">
        <w:rPr>
          <w:rFonts w:ascii="Arial" w:hAnsi="Arial" w:cs="Arial"/>
          <w:color w:val="000000"/>
        </w:rPr>
        <w:t>researcher</w:t>
      </w:r>
      <w:r w:rsidR="00BD6D3A" w:rsidRPr="00946B92">
        <w:rPr>
          <w:rFonts w:ascii="Arial" w:hAnsi="Arial" w:cs="Arial"/>
          <w:color w:val="000000"/>
        </w:rPr>
        <w:t xml:space="preserve">s to perform </w:t>
      </w:r>
      <w:r w:rsidR="00BD6D3A" w:rsidRPr="00946B92">
        <w:rPr>
          <w:rFonts w:ascii="Arial" w:hAnsi="Arial" w:cs="Arial"/>
          <w:color w:val="000000"/>
          <w:vertAlign w:val="superscript"/>
        </w:rPr>
        <w:t>15</w:t>
      </w:r>
      <w:r w:rsidR="00BD6D3A" w:rsidRPr="00946B92">
        <w:rPr>
          <w:rFonts w:ascii="Arial" w:hAnsi="Arial" w:cs="Arial"/>
          <w:color w:val="000000"/>
        </w:rPr>
        <w:t>N</w:t>
      </w:r>
      <w:r w:rsidR="00BD6D3A" w:rsidRPr="00946B92">
        <w:rPr>
          <w:rFonts w:ascii="Arial" w:hAnsi="Arial" w:cs="Arial"/>
          <w:color w:val="000000"/>
          <w:vertAlign w:val="subscript"/>
        </w:rPr>
        <w:t>2</w:t>
      </w:r>
      <w:r w:rsidR="00BD6D3A" w:rsidRPr="00946B92">
        <w:rPr>
          <w:rFonts w:ascii="Arial" w:hAnsi="Arial" w:cs="Arial"/>
          <w:color w:val="000000"/>
        </w:rPr>
        <w:t xml:space="preserve"> tracer incubations:</w:t>
      </w:r>
    </w:p>
    <w:p w14:paraId="0DD07A6B" w14:textId="3D025A70" w:rsidR="00BD6D3A" w:rsidRPr="00946B92" w:rsidRDefault="00BD6D3A" w:rsidP="005175F7">
      <w:pPr>
        <w:pStyle w:val="ListParagraph"/>
        <w:numPr>
          <w:ilvl w:val="0"/>
          <w:numId w:val="5"/>
        </w:numPr>
        <w:ind w:left="1440"/>
        <w:jc w:val="both"/>
        <w:rPr>
          <w:rFonts w:ascii="Arial" w:hAnsi="Arial" w:cs="Arial"/>
          <w:color w:val="000000"/>
        </w:rPr>
      </w:pPr>
      <w:r w:rsidRPr="00946B92">
        <w:rPr>
          <w:rFonts w:ascii="Arial" w:hAnsi="Arial" w:cs="Arial"/>
          <w:i/>
          <w:color w:val="000000"/>
        </w:rPr>
        <w:t>The traditional bubble method</w:t>
      </w:r>
      <w:r w:rsidRPr="00946B92">
        <w:rPr>
          <w:rFonts w:ascii="Arial" w:hAnsi="Arial" w:cs="Arial"/>
          <w:color w:val="000000"/>
        </w:rPr>
        <w:t xml:space="preserve">: An aliquot of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gas is added to the bottles that are incubated directly</w:t>
      </w:r>
      <w:r w:rsidR="00F35EC1">
        <w:rPr>
          <w:rFonts w:ascii="Arial" w:hAnsi="Arial" w:cs="Arial"/>
          <w:color w:val="000000"/>
        </w:rPr>
        <w:t xml:space="preserve"> (Montoya et al. 1996).</w:t>
      </w:r>
      <w:r w:rsidR="000D7397">
        <w:rPr>
          <w:rFonts w:ascii="Arial" w:hAnsi="Arial" w:cs="Arial"/>
          <w:color w:val="000000"/>
        </w:rPr>
        <w:t xml:space="preserve"> </w:t>
      </w:r>
    </w:p>
    <w:p w14:paraId="11F52401" w14:textId="712FEBC1" w:rsidR="00BD6D3A" w:rsidRPr="00946B92" w:rsidRDefault="00BD6D3A" w:rsidP="005175F7">
      <w:pPr>
        <w:pStyle w:val="ListParagraph"/>
        <w:numPr>
          <w:ilvl w:val="0"/>
          <w:numId w:val="5"/>
        </w:numPr>
        <w:ind w:left="1440"/>
        <w:jc w:val="both"/>
        <w:rPr>
          <w:rFonts w:ascii="Arial" w:hAnsi="Arial" w:cs="Arial"/>
          <w:color w:val="000000"/>
        </w:rPr>
      </w:pPr>
      <w:r w:rsidRPr="00946B92">
        <w:rPr>
          <w:rFonts w:ascii="Arial" w:hAnsi="Arial" w:cs="Arial"/>
          <w:i/>
          <w:color w:val="000000"/>
        </w:rPr>
        <w:t>The bubble release method</w:t>
      </w:r>
      <w:r w:rsidRPr="00946B92">
        <w:rPr>
          <w:rFonts w:ascii="Arial" w:hAnsi="Arial" w:cs="Arial"/>
          <w:color w:val="000000"/>
        </w:rPr>
        <w:t xml:space="preserve">: An aliquot of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gas is added to incubation bottles, which are mixed for a time, after which the gas bubble is released to the atmosphere and replaced with water. The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enrichment in individual bottles in quantitated </w:t>
      </w:r>
      <w:r w:rsidR="000D7397">
        <w:rPr>
          <w:rFonts w:ascii="Arial" w:hAnsi="Arial" w:cs="Arial"/>
          <w:color w:val="000000"/>
        </w:rPr>
        <w:t>from</w:t>
      </w:r>
      <w:r w:rsidR="000D7397" w:rsidRPr="00946B92">
        <w:rPr>
          <w:rFonts w:ascii="Arial" w:hAnsi="Arial" w:cs="Arial"/>
          <w:color w:val="000000"/>
        </w:rPr>
        <w:t xml:space="preserve"> </w:t>
      </w:r>
      <w:r w:rsidRPr="00946B92">
        <w:rPr>
          <w:rFonts w:ascii="Arial" w:hAnsi="Arial" w:cs="Arial"/>
          <w:color w:val="000000"/>
        </w:rPr>
        <w:t>subsamples taken at the final sampling</w:t>
      </w:r>
      <w:r w:rsidR="007A2D81">
        <w:rPr>
          <w:rFonts w:ascii="Arial" w:hAnsi="Arial" w:cs="Arial"/>
          <w:color w:val="000000"/>
        </w:rPr>
        <w:t xml:space="preserve"> (</w:t>
      </w:r>
      <w:proofErr w:type="spellStart"/>
      <w:r w:rsidR="007A2D81" w:rsidRPr="00946B92">
        <w:rPr>
          <w:rFonts w:ascii="Arial" w:hAnsi="Arial" w:cs="Arial"/>
          <w:color w:val="000000"/>
        </w:rPr>
        <w:t>Klawoon</w:t>
      </w:r>
      <w:proofErr w:type="spellEnd"/>
      <w:r w:rsidR="007A2D81" w:rsidRPr="00946B92">
        <w:rPr>
          <w:rFonts w:ascii="Arial" w:hAnsi="Arial" w:cs="Arial"/>
          <w:color w:val="000000"/>
        </w:rPr>
        <w:t xml:space="preserve"> et al. 2015</w:t>
      </w:r>
      <w:r w:rsidR="007A2D81">
        <w:rPr>
          <w:rFonts w:ascii="Arial" w:hAnsi="Arial" w:cs="Arial"/>
          <w:color w:val="000000"/>
        </w:rPr>
        <w:t>)</w:t>
      </w:r>
      <w:r w:rsidRPr="00946B92">
        <w:rPr>
          <w:rFonts w:ascii="Arial" w:hAnsi="Arial" w:cs="Arial"/>
          <w:color w:val="000000"/>
        </w:rPr>
        <w:t>.</w:t>
      </w:r>
    </w:p>
    <w:p w14:paraId="0472F8A2" w14:textId="0143FAAA" w:rsidR="00BD6D3A" w:rsidRPr="00946B92" w:rsidRDefault="00BD6D3A" w:rsidP="005175F7">
      <w:pPr>
        <w:pStyle w:val="ListParagraph"/>
        <w:numPr>
          <w:ilvl w:val="0"/>
          <w:numId w:val="5"/>
        </w:numPr>
        <w:ind w:left="1440"/>
        <w:jc w:val="both"/>
        <w:rPr>
          <w:rFonts w:ascii="Arial" w:hAnsi="Arial" w:cs="Arial"/>
          <w:color w:val="000000"/>
        </w:rPr>
      </w:pPr>
      <w:r w:rsidRPr="00946B92">
        <w:rPr>
          <w:rFonts w:ascii="Arial" w:hAnsi="Arial" w:cs="Arial"/>
          <w:i/>
          <w:color w:val="000000"/>
        </w:rPr>
        <w:t>The enriched seawater method(s)</w:t>
      </w:r>
      <w:r w:rsidRPr="00946B92">
        <w:rPr>
          <w:rFonts w:ascii="Arial" w:hAnsi="Arial" w:cs="Arial"/>
          <w:color w:val="000000"/>
        </w:rPr>
        <w:t xml:space="preserve">: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gas is added to degassed and/or filtered seawater, which is agitated to facilitate dissolution/equilibration. The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in the enrichments is measured, and an aliquot of </w:t>
      </w:r>
      <w:r w:rsidR="000D7397" w:rsidRPr="00946B92">
        <w:rPr>
          <w:rFonts w:ascii="Arial" w:hAnsi="Arial" w:cs="Arial"/>
          <w:color w:val="000000"/>
          <w:vertAlign w:val="superscript"/>
        </w:rPr>
        <w:t>15</w:t>
      </w:r>
      <w:r w:rsidR="000D7397" w:rsidRPr="00946B92">
        <w:rPr>
          <w:rFonts w:ascii="Arial" w:hAnsi="Arial" w:cs="Arial"/>
          <w:color w:val="000000"/>
        </w:rPr>
        <w:t>N</w:t>
      </w:r>
      <w:r w:rsidR="000D7397" w:rsidRPr="00946B92">
        <w:rPr>
          <w:rFonts w:ascii="Arial" w:hAnsi="Arial" w:cs="Arial"/>
          <w:color w:val="000000"/>
          <w:vertAlign w:val="subscript"/>
        </w:rPr>
        <w:t>2</w:t>
      </w:r>
      <w:r w:rsidR="000D7397">
        <w:rPr>
          <w:rFonts w:ascii="Arial" w:hAnsi="Arial" w:cs="Arial"/>
          <w:color w:val="000000"/>
        </w:rPr>
        <w:t>-</w:t>
      </w:r>
      <w:r w:rsidRPr="00946B92">
        <w:rPr>
          <w:rFonts w:ascii="Arial" w:hAnsi="Arial" w:cs="Arial"/>
          <w:color w:val="000000"/>
        </w:rPr>
        <w:t>enriched water is then added to the incubation bottles (</w:t>
      </w:r>
      <w:r w:rsidR="003E2DF2" w:rsidRPr="00F35EC1">
        <w:rPr>
          <w:rFonts w:ascii="Arial" w:hAnsi="Arial" w:cs="Arial"/>
          <w:i/>
          <w:color w:val="000000"/>
        </w:rPr>
        <w:t>e.g.</w:t>
      </w:r>
      <w:r w:rsidR="000D7397">
        <w:rPr>
          <w:rFonts w:ascii="Arial" w:hAnsi="Arial" w:cs="Arial"/>
          <w:color w:val="000000"/>
        </w:rPr>
        <w:t>,</w:t>
      </w:r>
      <w:r w:rsidR="003E2DF2" w:rsidRPr="00946B92">
        <w:rPr>
          <w:rFonts w:ascii="Arial" w:hAnsi="Arial" w:cs="Arial"/>
          <w:color w:val="000000"/>
        </w:rPr>
        <w:t xml:space="preserve"> Wilson et al. 2010,</w:t>
      </w:r>
      <w:r w:rsidR="000D7397">
        <w:rPr>
          <w:rFonts w:ascii="Arial" w:hAnsi="Arial" w:cs="Arial"/>
          <w:color w:val="000000"/>
        </w:rPr>
        <w:t xml:space="preserve"> </w:t>
      </w:r>
      <w:proofErr w:type="spellStart"/>
      <w:r w:rsidR="003E2DF2" w:rsidRPr="00946B92">
        <w:rPr>
          <w:rFonts w:ascii="Arial" w:hAnsi="Arial" w:cs="Arial"/>
          <w:color w:val="000000"/>
        </w:rPr>
        <w:t>Klawoon</w:t>
      </w:r>
      <w:proofErr w:type="spellEnd"/>
      <w:r w:rsidR="003E2DF2" w:rsidRPr="00946B92">
        <w:rPr>
          <w:rFonts w:ascii="Arial" w:hAnsi="Arial" w:cs="Arial"/>
          <w:color w:val="000000"/>
        </w:rPr>
        <w:t xml:space="preserve"> et al. 2015</w:t>
      </w:r>
      <w:r w:rsidRPr="00946B92">
        <w:rPr>
          <w:rFonts w:ascii="Arial" w:hAnsi="Arial" w:cs="Arial"/>
          <w:color w:val="000000"/>
        </w:rPr>
        <w:t>).</w:t>
      </w:r>
    </w:p>
    <w:p w14:paraId="49B91027" w14:textId="750C6778" w:rsidR="00BD6D3A" w:rsidRDefault="00BD6D3A" w:rsidP="005175F7">
      <w:pPr>
        <w:ind w:left="720"/>
        <w:jc w:val="both"/>
        <w:rPr>
          <w:rFonts w:ascii="Arial" w:hAnsi="Arial" w:cs="Arial"/>
        </w:rPr>
      </w:pPr>
      <w:r w:rsidRPr="00946B92">
        <w:rPr>
          <w:rFonts w:ascii="Arial" w:hAnsi="Arial" w:cs="Arial"/>
          <w:color w:val="000000"/>
        </w:rPr>
        <w:t xml:space="preserve">Each of the above techniques has salient limitations and obstacles that contribute uncertainty in rate </w:t>
      </w:r>
      <w:r w:rsidRPr="00946B92">
        <w:rPr>
          <w:rFonts w:ascii="Arial" w:hAnsi="Arial" w:cs="Arial"/>
        </w:rPr>
        <w:t xml:space="preserve">estimates. The </w:t>
      </w:r>
      <w:r w:rsidR="00B958DF" w:rsidRPr="00946B92">
        <w:rPr>
          <w:rFonts w:ascii="Arial" w:hAnsi="Arial" w:cs="Arial"/>
        </w:rPr>
        <w:t>N</w:t>
      </w:r>
      <w:r w:rsidR="00B958DF" w:rsidRPr="00946B92">
        <w:rPr>
          <w:rFonts w:ascii="Arial" w:hAnsi="Arial" w:cs="Arial"/>
          <w:vertAlign w:val="subscript"/>
        </w:rPr>
        <w:t>2</w:t>
      </w:r>
      <w:r w:rsidR="00B958DF" w:rsidRPr="00946B92">
        <w:rPr>
          <w:rFonts w:ascii="Arial" w:hAnsi="Arial" w:cs="Arial"/>
        </w:rPr>
        <w:t xml:space="preserve"> fixation community </w:t>
      </w:r>
      <w:r w:rsidR="00B958DF">
        <w:rPr>
          <w:rFonts w:ascii="Arial" w:hAnsi="Arial" w:cs="Arial"/>
        </w:rPr>
        <w:t xml:space="preserve">raised the following </w:t>
      </w:r>
      <w:r w:rsidR="003F2D1E" w:rsidRPr="00946B92">
        <w:rPr>
          <w:rFonts w:ascii="Arial" w:hAnsi="Arial" w:cs="Arial"/>
        </w:rPr>
        <w:t>advantages and limitations singular to respective methods:</w:t>
      </w:r>
    </w:p>
    <w:p w14:paraId="0053DF4A" w14:textId="47A6CD62" w:rsidR="00601A1B" w:rsidRPr="00946B92" w:rsidRDefault="00601A1B" w:rsidP="005175F7">
      <w:pPr>
        <w:pStyle w:val="ListParagraph"/>
        <w:numPr>
          <w:ilvl w:val="0"/>
          <w:numId w:val="6"/>
        </w:numPr>
        <w:ind w:left="1440"/>
        <w:jc w:val="both"/>
        <w:rPr>
          <w:rFonts w:ascii="Arial" w:hAnsi="Arial" w:cs="Arial"/>
          <w:color w:val="000000"/>
        </w:rPr>
      </w:pPr>
      <w:r w:rsidRPr="00946B92">
        <w:rPr>
          <w:rFonts w:ascii="Arial" w:hAnsi="Arial" w:cs="Arial"/>
          <w:color w:val="000000"/>
        </w:rPr>
        <w:t xml:space="preserve">With respect to the </w:t>
      </w:r>
      <w:r w:rsidRPr="00946B92">
        <w:rPr>
          <w:rFonts w:ascii="Arial" w:hAnsi="Arial" w:cs="Arial"/>
          <w:i/>
          <w:color w:val="000000"/>
        </w:rPr>
        <w:t>traditional bubble method</w:t>
      </w:r>
      <w:r w:rsidRPr="00946B92">
        <w:rPr>
          <w:rFonts w:ascii="Arial" w:hAnsi="Arial" w:cs="Arial"/>
          <w:color w:val="000000"/>
        </w:rPr>
        <w:t xml:space="preserve">, dissolution of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gas is</w:t>
      </w:r>
      <w:r w:rsidR="003F2D1E" w:rsidRPr="00946B92">
        <w:rPr>
          <w:rFonts w:ascii="Arial" w:hAnsi="Arial" w:cs="Arial"/>
          <w:color w:val="000000"/>
        </w:rPr>
        <w:t xml:space="preserve"> time-dependent and ultimately</w:t>
      </w:r>
      <w:r w:rsidRPr="00946B92">
        <w:rPr>
          <w:rFonts w:ascii="Arial" w:hAnsi="Arial" w:cs="Arial"/>
          <w:color w:val="000000"/>
        </w:rPr>
        <w:t xml:space="preserve"> incomplete (</w:t>
      </w:r>
      <w:r w:rsidR="00126729" w:rsidRPr="00946B92">
        <w:rPr>
          <w:rFonts w:ascii="Arial" w:hAnsi="Arial" w:cs="Arial"/>
          <w:color w:val="000000"/>
        </w:rPr>
        <w:t>Mohr et al. 2010</w:t>
      </w:r>
      <w:r w:rsidRPr="00946B92">
        <w:rPr>
          <w:rFonts w:ascii="Arial" w:hAnsi="Arial" w:cs="Arial"/>
          <w:color w:val="000000"/>
        </w:rPr>
        <w:t xml:space="preserve">), such that the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enrichment of the incubations is uncertain, leading to potentially erroneous rates. Some workers measure the final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enrichment, and interpolate to either a measured or initial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concentration in the incubations, in order to derive rate estimates</w:t>
      </w:r>
      <w:r w:rsidR="00126729" w:rsidRPr="00946B92">
        <w:rPr>
          <w:rFonts w:ascii="Arial" w:hAnsi="Arial" w:cs="Arial"/>
          <w:color w:val="000000"/>
        </w:rPr>
        <w:t xml:space="preserve"> (as discussed by select participants)</w:t>
      </w:r>
      <w:r w:rsidRPr="00946B92">
        <w:rPr>
          <w:rFonts w:ascii="Arial" w:hAnsi="Arial" w:cs="Arial"/>
          <w:color w:val="000000"/>
        </w:rPr>
        <w:t>.</w:t>
      </w:r>
    </w:p>
    <w:p w14:paraId="0843BF17" w14:textId="6522062F" w:rsidR="00601A1B" w:rsidRPr="00946B92" w:rsidRDefault="00601A1B" w:rsidP="005175F7">
      <w:pPr>
        <w:pStyle w:val="ListParagraph"/>
        <w:numPr>
          <w:ilvl w:val="0"/>
          <w:numId w:val="6"/>
        </w:numPr>
        <w:ind w:left="1440"/>
        <w:jc w:val="both"/>
        <w:rPr>
          <w:rFonts w:ascii="Arial" w:hAnsi="Arial" w:cs="Arial"/>
          <w:color w:val="000000"/>
        </w:rPr>
      </w:pPr>
      <w:r w:rsidRPr="00946B92">
        <w:rPr>
          <w:rFonts w:ascii="Arial" w:hAnsi="Arial" w:cs="Arial"/>
          <w:color w:val="000000"/>
        </w:rPr>
        <w:t xml:space="preserve">The </w:t>
      </w:r>
      <w:r w:rsidRPr="00946B92">
        <w:rPr>
          <w:rFonts w:ascii="Arial" w:hAnsi="Arial" w:cs="Arial"/>
          <w:i/>
          <w:color w:val="000000"/>
        </w:rPr>
        <w:t xml:space="preserve">bubble release </w:t>
      </w:r>
      <w:r w:rsidRPr="00946B92">
        <w:rPr>
          <w:rFonts w:ascii="Arial" w:hAnsi="Arial" w:cs="Arial"/>
          <w:color w:val="000000"/>
        </w:rPr>
        <w:t xml:space="preserve">method benefits from having a constant and quantitated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concentration throughout the incubation, in contrast to the traditional bubble method. However, the method involves the initial shaking of the incubation bottles, which has the potential to aggregate/disaggregate particles, and to disturb </w:t>
      </w:r>
      <w:r w:rsidR="00126729" w:rsidRPr="00946B92">
        <w:rPr>
          <w:rFonts w:ascii="Arial" w:hAnsi="Arial" w:cs="Arial"/>
          <w:color w:val="000000"/>
        </w:rPr>
        <w:t>cells</w:t>
      </w:r>
      <w:r w:rsidRPr="00946B92">
        <w:rPr>
          <w:rFonts w:ascii="Arial" w:hAnsi="Arial" w:cs="Arial"/>
          <w:color w:val="000000"/>
        </w:rPr>
        <w:t xml:space="preserve">, thus </w:t>
      </w:r>
      <w:r w:rsidR="00126729" w:rsidRPr="00946B92">
        <w:rPr>
          <w:rFonts w:ascii="Arial" w:hAnsi="Arial" w:cs="Arial"/>
          <w:color w:val="000000"/>
        </w:rPr>
        <w:t xml:space="preserve">potentially </w:t>
      </w:r>
      <w:r w:rsidRPr="00946B92">
        <w:rPr>
          <w:rFonts w:ascii="Arial" w:hAnsi="Arial" w:cs="Arial"/>
          <w:color w:val="000000"/>
        </w:rPr>
        <w:t xml:space="preserve">influencing measured rates. </w:t>
      </w:r>
    </w:p>
    <w:p w14:paraId="796667FF" w14:textId="775C6782" w:rsidR="00601A1B" w:rsidRPr="00946B92" w:rsidRDefault="00601A1B" w:rsidP="005175F7">
      <w:pPr>
        <w:pStyle w:val="ListParagraph"/>
        <w:numPr>
          <w:ilvl w:val="0"/>
          <w:numId w:val="6"/>
        </w:numPr>
        <w:ind w:left="1440"/>
        <w:jc w:val="both"/>
        <w:rPr>
          <w:rFonts w:ascii="Arial" w:hAnsi="Arial" w:cs="Arial"/>
          <w:color w:val="000000"/>
        </w:rPr>
      </w:pPr>
      <w:r w:rsidRPr="00946B92">
        <w:rPr>
          <w:rFonts w:ascii="Arial" w:hAnsi="Arial" w:cs="Arial"/>
          <w:color w:val="000000"/>
        </w:rPr>
        <w:t xml:space="preserve">The </w:t>
      </w:r>
      <w:r w:rsidRPr="00946B92">
        <w:rPr>
          <w:rFonts w:ascii="Arial" w:hAnsi="Arial" w:cs="Arial"/>
          <w:i/>
          <w:color w:val="000000"/>
        </w:rPr>
        <w:t>enriched seawater method</w:t>
      </w:r>
      <w:r w:rsidRPr="00946B92">
        <w:rPr>
          <w:rFonts w:ascii="Arial" w:hAnsi="Arial" w:cs="Arial"/>
          <w:color w:val="000000"/>
        </w:rPr>
        <w:t xml:space="preserve"> also benefits from a constant and quantitate</w:t>
      </w:r>
      <w:r w:rsidR="003F2D1E" w:rsidRPr="00946B92">
        <w:rPr>
          <w:rFonts w:ascii="Arial" w:hAnsi="Arial" w:cs="Arial"/>
          <w:color w:val="000000"/>
        </w:rPr>
        <w:t>d</w:t>
      </w:r>
      <w:r w:rsidRPr="00946B92">
        <w:rPr>
          <w:rFonts w:ascii="Arial" w:hAnsi="Arial" w:cs="Arial"/>
          <w:color w:val="000000"/>
        </w:rPr>
        <w:t xml:space="preserve">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concentration, and does not involve shaking </w:t>
      </w:r>
      <w:r w:rsidR="003F2D1E" w:rsidRPr="00946B92">
        <w:rPr>
          <w:rFonts w:ascii="Arial" w:hAnsi="Arial" w:cs="Arial"/>
          <w:color w:val="000000"/>
        </w:rPr>
        <w:t xml:space="preserve">the </w:t>
      </w:r>
      <w:r w:rsidRPr="00946B92">
        <w:rPr>
          <w:rFonts w:ascii="Arial" w:hAnsi="Arial" w:cs="Arial"/>
          <w:color w:val="000000"/>
        </w:rPr>
        <w:t xml:space="preserve">incubation bottles. However, </w:t>
      </w:r>
      <w:r w:rsidR="003F2D1E" w:rsidRPr="00946B92">
        <w:rPr>
          <w:rFonts w:ascii="Arial" w:hAnsi="Arial" w:cs="Arial"/>
          <w:color w:val="000000"/>
        </w:rPr>
        <w:t xml:space="preserve">the preparation of </w:t>
      </w:r>
      <w:r w:rsidR="003F2D1E" w:rsidRPr="00946B92">
        <w:rPr>
          <w:rFonts w:ascii="Arial" w:hAnsi="Arial" w:cs="Arial"/>
          <w:color w:val="000000"/>
          <w:vertAlign w:val="superscript"/>
        </w:rPr>
        <w:t>15</w:t>
      </w:r>
      <w:r w:rsidR="003F2D1E" w:rsidRPr="00946B92">
        <w:rPr>
          <w:rFonts w:ascii="Arial" w:hAnsi="Arial" w:cs="Arial"/>
          <w:color w:val="000000"/>
        </w:rPr>
        <w:t>N</w:t>
      </w:r>
      <w:r w:rsidR="003F2D1E" w:rsidRPr="00946B92">
        <w:rPr>
          <w:rFonts w:ascii="Arial" w:hAnsi="Arial" w:cs="Arial"/>
          <w:color w:val="000000"/>
          <w:vertAlign w:val="subscript"/>
        </w:rPr>
        <w:t>2</w:t>
      </w:r>
      <w:r w:rsidR="003F2D1E" w:rsidRPr="00946B92">
        <w:rPr>
          <w:rFonts w:ascii="Arial" w:hAnsi="Arial" w:cs="Arial"/>
          <w:color w:val="000000"/>
        </w:rPr>
        <w:t xml:space="preserve">-enriched seawater has the potential to introduce contaminants </w:t>
      </w:r>
      <w:r w:rsidR="003F2D1E" w:rsidRPr="00946B92">
        <w:rPr>
          <w:rFonts w:ascii="Arial" w:hAnsi="Arial" w:cs="Arial"/>
          <w:i/>
          <w:color w:val="000000"/>
        </w:rPr>
        <w:t>(e.g.,</w:t>
      </w:r>
      <w:r w:rsidR="003F2D1E" w:rsidRPr="00946B92">
        <w:rPr>
          <w:rFonts w:ascii="Arial" w:hAnsi="Arial" w:cs="Arial"/>
          <w:color w:val="000000"/>
        </w:rPr>
        <w:t xml:space="preserve"> trace metals, ammonium) to the incubations, and to modify O</w:t>
      </w:r>
      <w:r w:rsidR="003F2D1E" w:rsidRPr="00946B92">
        <w:rPr>
          <w:rFonts w:ascii="Arial" w:hAnsi="Arial" w:cs="Arial"/>
          <w:color w:val="000000"/>
          <w:vertAlign w:val="subscript"/>
        </w:rPr>
        <w:t>2</w:t>
      </w:r>
      <w:r w:rsidR="003F2D1E" w:rsidRPr="00946B92">
        <w:rPr>
          <w:rFonts w:ascii="Arial" w:hAnsi="Arial" w:cs="Arial"/>
          <w:color w:val="000000"/>
        </w:rPr>
        <w:t xml:space="preserve"> and DIC concentrations.</w:t>
      </w:r>
    </w:p>
    <w:p w14:paraId="2BF6972F" w14:textId="19E154C2" w:rsidR="002B16B6" w:rsidRPr="00946B92" w:rsidRDefault="002B16B6" w:rsidP="005175F7">
      <w:pPr>
        <w:spacing w:before="100" w:after="100"/>
        <w:ind w:left="720"/>
        <w:jc w:val="both"/>
        <w:rPr>
          <w:rFonts w:ascii="Arial" w:hAnsi="Arial" w:cs="Arial"/>
          <w:color w:val="000000"/>
        </w:rPr>
      </w:pPr>
      <w:r w:rsidRPr="00946B92">
        <w:rPr>
          <w:rFonts w:ascii="Arial" w:hAnsi="Arial" w:cs="Arial"/>
          <w:color w:val="000000"/>
        </w:rPr>
        <w:t xml:space="preserve">The community also perceives additional limitations and uncertainties </w:t>
      </w:r>
      <w:r w:rsidR="00D729F3" w:rsidRPr="00946B92">
        <w:rPr>
          <w:rFonts w:ascii="Arial" w:hAnsi="Arial" w:cs="Arial"/>
          <w:color w:val="000000"/>
        </w:rPr>
        <w:t xml:space="preserve">associated with </w:t>
      </w:r>
      <w:r w:rsidR="0011674D">
        <w:rPr>
          <w:rFonts w:ascii="Arial" w:hAnsi="Arial" w:cs="Arial"/>
          <w:color w:val="000000"/>
        </w:rPr>
        <w:t xml:space="preserve">some or all of </w:t>
      </w:r>
      <w:r w:rsidR="00D729F3" w:rsidRPr="00946B92">
        <w:rPr>
          <w:rFonts w:ascii="Arial" w:hAnsi="Arial" w:cs="Arial"/>
          <w:color w:val="000000"/>
        </w:rPr>
        <w:t>the above methods: (a) The</w:t>
      </w:r>
      <w:r w:rsidRPr="00946B92">
        <w:rPr>
          <w:rFonts w:ascii="Arial" w:hAnsi="Arial" w:cs="Arial"/>
          <w:color w:val="000000"/>
        </w:rPr>
        <w:t xml:space="preserve"> limit</w:t>
      </w:r>
      <w:r w:rsidR="00D729F3" w:rsidRPr="00946B92">
        <w:rPr>
          <w:rFonts w:ascii="Arial" w:hAnsi="Arial" w:cs="Arial"/>
          <w:color w:val="000000"/>
        </w:rPr>
        <w:t>s</w:t>
      </w:r>
      <w:r w:rsidRPr="00946B92">
        <w:rPr>
          <w:rFonts w:ascii="Arial" w:hAnsi="Arial" w:cs="Arial"/>
          <w:color w:val="000000"/>
        </w:rPr>
        <w:t xml:space="preserve"> of detection and</w:t>
      </w:r>
      <w:r w:rsidR="00DF2B53" w:rsidRPr="00946B92">
        <w:rPr>
          <w:rFonts w:ascii="Arial" w:hAnsi="Arial" w:cs="Arial"/>
          <w:color w:val="000000"/>
        </w:rPr>
        <w:t xml:space="preserve"> mass spect</w:t>
      </w:r>
      <w:r w:rsidR="00D729F3" w:rsidRPr="00946B92">
        <w:rPr>
          <w:rFonts w:ascii="Arial" w:hAnsi="Arial" w:cs="Arial"/>
          <w:color w:val="000000"/>
        </w:rPr>
        <w:t>r</w:t>
      </w:r>
      <w:r w:rsidR="00DF2B53" w:rsidRPr="00946B92">
        <w:rPr>
          <w:rFonts w:ascii="Arial" w:hAnsi="Arial" w:cs="Arial"/>
          <w:color w:val="000000"/>
        </w:rPr>
        <w:t>ometr</w:t>
      </w:r>
      <w:r w:rsidRPr="00946B92">
        <w:rPr>
          <w:rFonts w:ascii="Arial" w:hAnsi="Arial" w:cs="Arial"/>
          <w:color w:val="000000"/>
        </w:rPr>
        <w:t xml:space="preserve">ic linearity of </w:t>
      </w:r>
      <w:r w:rsidR="00D729F3" w:rsidRPr="00946B92">
        <w:rPr>
          <w:rFonts w:ascii="Symbol" w:hAnsi="Symbol" w:cs="Arial"/>
          <w:color w:val="000000"/>
        </w:rPr>
        <w:t></w:t>
      </w:r>
      <w:r w:rsidRPr="00946B92">
        <w:rPr>
          <w:rFonts w:ascii="Arial" w:hAnsi="Arial" w:cs="Arial"/>
          <w:color w:val="000000"/>
          <w:vertAlign w:val="superscript"/>
        </w:rPr>
        <w:t>15</w:t>
      </w:r>
      <w:r w:rsidRPr="00946B92">
        <w:rPr>
          <w:rFonts w:ascii="Arial" w:hAnsi="Arial" w:cs="Arial"/>
          <w:color w:val="000000"/>
        </w:rPr>
        <w:t xml:space="preserve">N PON measurements </w:t>
      </w:r>
      <w:r w:rsidR="00751F16">
        <w:rPr>
          <w:rFonts w:ascii="Arial" w:hAnsi="Arial" w:cs="Arial"/>
          <w:color w:val="000000"/>
        </w:rPr>
        <w:t xml:space="preserve">are </w:t>
      </w:r>
      <w:r w:rsidR="00D729F3" w:rsidRPr="00946B92">
        <w:rPr>
          <w:rFonts w:ascii="Arial" w:hAnsi="Arial" w:cs="Arial"/>
          <w:color w:val="000000"/>
        </w:rPr>
        <w:t xml:space="preserve">either </w:t>
      </w:r>
      <w:r w:rsidRPr="00946B92">
        <w:rPr>
          <w:rFonts w:ascii="Arial" w:hAnsi="Arial" w:cs="Arial"/>
          <w:color w:val="000000"/>
        </w:rPr>
        <w:t xml:space="preserve">not reported or </w:t>
      </w:r>
      <w:r w:rsidR="00D729F3" w:rsidRPr="00946B92">
        <w:rPr>
          <w:rFonts w:ascii="Arial" w:hAnsi="Arial" w:cs="Arial"/>
          <w:color w:val="000000"/>
        </w:rPr>
        <w:t xml:space="preserve">not considered; (b) </w:t>
      </w:r>
      <w:r w:rsidR="002B3045" w:rsidRPr="00946B92">
        <w:rPr>
          <w:rFonts w:ascii="Arial" w:hAnsi="Arial" w:cs="Arial"/>
          <w:color w:val="000000"/>
        </w:rPr>
        <w:t>The mass of PON has a disproportionate influence on rate measurements, but this quantity is highly variable among replicates (</w:t>
      </w:r>
      <w:r w:rsidR="002B3045" w:rsidRPr="00946B92">
        <w:rPr>
          <w:rFonts w:ascii="Arial" w:hAnsi="Arial" w:cs="Arial"/>
          <w:i/>
          <w:color w:val="000000"/>
        </w:rPr>
        <w:t>see</w:t>
      </w:r>
      <w:r w:rsidR="002B3045" w:rsidRPr="00946B92">
        <w:rPr>
          <w:rFonts w:ascii="Arial" w:hAnsi="Arial" w:cs="Arial"/>
          <w:color w:val="000000"/>
        </w:rPr>
        <w:t xml:space="preserve"> Montoya et al. 1996); (c) </w:t>
      </w:r>
      <w:r w:rsidR="00D729F3" w:rsidRPr="00946B92">
        <w:rPr>
          <w:rFonts w:ascii="Arial" w:hAnsi="Arial" w:cs="Arial"/>
          <w:color w:val="000000"/>
        </w:rPr>
        <w:t>The c</w:t>
      </w:r>
      <w:r w:rsidRPr="00946B92">
        <w:rPr>
          <w:rFonts w:ascii="Arial" w:hAnsi="Arial" w:cs="Arial"/>
          <w:color w:val="000000"/>
        </w:rPr>
        <w:t>ollection and sto</w:t>
      </w:r>
      <w:r w:rsidR="00D729F3" w:rsidRPr="00946B92">
        <w:rPr>
          <w:rFonts w:ascii="Arial" w:hAnsi="Arial" w:cs="Arial"/>
          <w:color w:val="000000"/>
        </w:rPr>
        <w:t>r</w:t>
      </w:r>
      <w:r w:rsidRPr="00946B92">
        <w:rPr>
          <w:rFonts w:ascii="Arial" w:hAnsi="Arial" w:cs="Arial"/>
          <w:color w:val="000000"/>
        </w:rPr>
        <w:t xml:space="preserve">age of </w:t>
      </w:r>
      <w:r w:rsidRPr="00946B92">
        <w:rPr>
          <w:rFonts w:ascii="Arial" w:hAnsi="Arial" w:cs="Arial"/>
          <w:color w:val="000000"/>
          <w:vertAlign w:val="superscript"/>
        </w:rPr>
        <w:t>15</w:t>
      </w:r>
      <w:r w:rsidRPr="00946B92">
        <w:rPr>
          <w:rFonts w:ascii="Arial" w:hAnsi="Arial" w:cs="Arial"/>
          <w:color w:val="000000"/>
        </w:rPr>
        <w:t>N</w:t>
      </w:r>
      <w:r w:rsidRPr="00946B92">
        <w:rPr>
          <w:rFonts w:ascii="Arial" w:hAnsi="Arial" w:cs="Arial"/>
          <w:color w:val="000000"/>
          <w:vertAlign w:val="subscript"/>
        </w:rPr>
        <w:t>2</w:t>
      </w:r>
      <w:r w:rsidRPr="00946B92">
        <w:rPr>
          <w:rFonts w:ascii="Arial" w:hAnsi="Arial" w:cs="Arial"/>
          <w:color w:val="000000"/>
        </w:rPr>
        <w:t xml:space="preserve"> gas samples </w:t>
      </w:r>
      <w:r w:rsidR="00D729F3" w:rsidRPr="00946B92">
        <w:rPr>
          <w:rFonts w:ascii="Arial" w:hAnsi="Arial" w:cs="Arial"/>
          <w:color w:val="000000"/>
        </w:rPr>
        <w:t xml:space="preserve">has not been tested or codified; </w:t>
      </w:r>
      <w:r w:rsidR="002B3045" w:rsidRPr="00946B92">
        <w:rPr>
          <w:rFonts w:ascii="Arial" w:hAnsi="Arial" w:cs="Arial"/>
          <w:color w:val="000000"/>
        </w:rPr>
        <w:t>(d</w:t>
      </w:r>
      <w:r w:rsidR="00D729F3" w:rsidRPr="00946B92">
        <w:rPr>
          <w:rFonts w:ascii="Arial" w:hAnsi="Arial" w:cs="Arial"/>
          <w:color w:val="000000"/>
        </w:rPr>
        <w:t xml:space="preserve">) </w:t>
      </w:r>
      <w:r w:rsidRPr="00946B92">
        <w:rPr>
          <w:rFonts w:ascii="Arial" w:hAnsi="Arial" w:cs="Arial"/>
          <w:color w:val="000000"/>
        </w:rPr>
        <w:t xml:space="preserve">Membrane Inlet Mass Spectrometry (MIMS) calibration to </w:t>
      </w:r>
      <w:r w:rsidR="00D729F3" w:rsidRPr="00946B92">
        <w:rPr>
          <w:rFonts w:ascii="Arial" w:hAnsi="Arial" w:cs="Arial"/>
          <w:color w:val="000000"/>
        </w:rPr>
        <w:t xml:space="preserve">a </w:t>
      </w:r>
      <w:r w:rsidRPr="00946B92">
        <w:rPr>
          <w:rFonts w:ascii="Arial" w:hAnsi="Arial" w:cs="Arial"/>
          <w:color w:val="000000"/>
        </w:rPr>
        <w:t xml:space="preserve">single air standard </w:t>
      </w:r>
      <w:r w:rsidR="00D729F3" w:rsidRPr="00946B92">
        <w:rPr>
          <w:rFonts w:ascii="Arial" w:hAnsi="Arial" w:cs="Arial"/>
          <w:color w:val="000000"/>
        </w:rPr>
        <w:t xml:space="preserve">– in order to estimate </w:t>
      </w:r>
      <w:r w:rsidR="00D729F3" w:rsidRPr="00946B92">
        <w:rPr>
          <w:rFonts w:ascii="Arial" w:hAnsi="Arial" w:cs="Arial"/>
          <w:color w:val="000000"/>
          <w:vertAlign w:val="superscript"/>
        </w:rPr>
        <w:t>15</w:t>
      </w:r>
      <w:r w:rsidR="00D729F3" w:rsidRPr="00946B92">
        <w:rPr>
          <w:rFonts w:ascii="Arial" w:hAnsi="Arial" w:cs="Arial"/>
          <w:color w:val="000000"/>
        </w:rPr>
        <w:t>N</w:t>
      </w:r>
      <w:r w:rsidR="00D729F3" w:rsidRPr="00946B92">
        <w:rPr>
          <w:rFonts w:ascii="Arial" w:hAnsi="Arial" w:cs="Arial"/>
          <w:color w:val="000000"/>
          <w:vertAlign w:val="subscript"/>
        </w:rPr>
        <w:t>2</w:t>
      </w:r>
      <w:r w:rsidR="00D729F3" w:rsidRPr="00946B92">
        <w:rPr>
          <w:rFonts w:ascii="Arial" w:hAnsi="Arial" w:cs="Arial"/>
          <w:color w:val="000000"/>
        </w:rPr>
        <w:t xml:space="preserve"> gas enrichments – has not be verified;</w:t>
      </w:r>
      <w:r w:rsidR="002B3045" w:rsidRPr="00946B92">
        <w:rPr>
          <w:rFonts w:ascii="Arial" w:hAnsi="Arial" w:cs="Arial"/>
          <w:color w:val="000000"/>
        </w:rPr>
        <w:t xml:space="preserve"> (e</w:t>
      </w:r>
      <w:r w:rsidR="00D729F3" w:rsidRPr="00946B92">
        <w:rPr>
          <w:rFonts w:ascii="Arial" w:hAnsi="Arial" w:cs="Arial"/>
          <w:color w:val="000000"/>
        </w:rPr>
        <w:t>) The collection of</w:t>
      </w:r>
      <w:r w:rsidRPr="00946B92">
        <w:rPr>
          <w:rFonts w:ascii="Arial" w:hAnsi="Arial" w:cs="Arial"/>
          <w:color w:val="000000"/>
        </w:rPr>
        <w:t xml:space="preserve"> in</w:t>
      </w:r>
      <w:r w:rsidR="00D729F3" w:rsidRPr="00946B92">
        <w:rPr>
          <w:rFonts w:ascii="Arial" w:hAnsi="Arial" w:cs="Arial"/>
          <w:color w:val="000000"/>
        </w:rPr>
        <w:t>i</w:t>
      </w:r>
      <w:r w:rsidRPr="00946B92">
        <w:rPr>
          <w:rFonts w:ascii="Arial" w:hAnsi="Arial" w:cs="Arial"/>
          <w:color w:val="000000"/>
        </w:rPr>
        <w:t>tial and final</w:t>
      </w:r>
      <w:r w:rsidRPr="00946B92">
        <w:rPr>
          <w:rFonts w:ascii="Symbol" w:hAnsi="Symbol" w:cs="Arial"/>
          <w:color w:val="000000"/>
        </w:rPr>
        <w:t></w:t>
      </w:r>
      <w:r w:rsidR="00D729F3" w:rsidRPr="00946B92">
        <w:rPr>
          <w:rFonts w:ascii="Symbol" w:hAnsi="Symbol" w:cs="Arial"/>
          <w:color w:val="000000"/>
        </w:rPr>
        <w:t></w:t>
      </w:r>
      <w:r w:rsidR="00D729F3" w:rsidRPr="00946B92">
        <w:rPr>
          <w:rFonts w:ascii="Arial" w:hAnsi="Arial" w:cs="Arial"/>
          <w:color w:val="000000"/>
          <w:vertAlign w:val="superscript"/>
        </w:rPr>
        <w:t>15</w:t>
      </w:r>
      <w:r w:rsidR="00D729F3" w:rsidRPr="00946B92">
        <w:rPr>
          <w:rFonts w:ascii="Arial" w:hAnsi="Arial" w:cs="Arial"/>
          <w:color w:val="000000"/>
        </w:rPr>
        <w:t xml:space="preserve">N PON </w:t>
      </w:r>
      <w:r w:rsidRPr="00946B92">
        <w:rPr>
          <w:rFonts w:ascii="Arial" w:hAnsi="Arial" w:cs="Arial"/>
          <w:color w:val="000000"/>
        </w:rPr>
        <w:t xml:space="preserve">controls </w:t>
      </w:r>
      <w:r w:rsidR="00D729F3" w:rsidRPr="00946B92">
        <w:rPr>
          <w:rFonts w:ascii="Arial" w:hAnsi="Arial" w:cs="Arial"/>
          <w:color w:val="000000"/>
        </w:rPr>
        <w:t xml:space="preserve">is </w:t>
      </w:r>
      <w:r w:rsidRPr="00946B92">
        <w:rPr>
          <w:rFonts w:ascii="Arial" w:hAnsi="Arial" w:cs="Arial"/>
          <w:color w:val="000000"/>
        </w:rPr>
        <w:t xml:space="preserve">not standard, although </w:t>
      </w:r>
      <w:r w:rsidR="00D729F3" w:rsidRPr="00946B92">
        <w:rPr>
          <w:rFonts w:ascii="Arial" w:hAnsi="Arial" w:cs="Arial"/>
          <w:color w:val="000000"/>
        </w:rPr>
        <w:t xml:space="preserve">there is mounting </w:t>
      </w:r>
      <w:r w:rsidRPr="00946B92">
        <w:rPr>
          <w:rFonts w:ascii="Arial" w:hAnsi="Arial" w:cs="Arial"/>
          <w:color w:val="000000"/>
        </w:rPr>
        <w:t xml:space="preserve">evidence that </w:t>
      </w:r>
      <w:r w:rsidR="00D729F3" w:rsidRPr="00946B92">
        <w:rPr>
          <w:rFonts w:ascii="Arial" w:hAnsi="Arial" w:cs="Arial"/>
          <w:color w:val="000000"/>
        </w:rPr>
        <w:t xml:space="preserve">the </w:t>
      </w:r>
      <w:r w:rsidRPr="00946B92">
        <w:rPr>
          <w:rFonts w:ascii="Arial" w:hAnsi="Arial" w:cs="Arial"/>
          <w:color w:val="000000"/>
        </w:rPr>
        <w:t>natural</w:t>
      </w:r>
      <w:r w:rsidR="00D729F3" w:rsidRPr="00946B92">
        <w:rPr>
          <w:rFonts w:ascii="Arial" w:hAnsi="Arial" w:cs="Arial"/>
          <w:color w:val="000000"/>
        </w:rPr>
        <w:t xml:space="preserve"> abundance</w:t>
      </w:r>
      <w:r w:rsidRPr="00946B92">
        <w:rPr>
          <w:rFonts w:ascii="Arial" w:hAnsi="Arial" w:cs="Arial"/>
          <w:color w:val="000000"/>
        </w:rPr>
        <w:t xml:space="preserve"> </w:t>
      </w:r>
      <w:r w:rsidRPr="00946B92">
        <w:rPr>
          <w:rFonts w:ascii="Symbol" w:hAnsi="Symbol" w:cs="Arial"/>
          <w:color w:val="000000"/>
        </w:rPr>
        <w:t></w:t>
      </w:r>
      <w:r w:rsidRPr="00946B92">
        <w:rPr>
          <w:rFonts w:ascii="Arial" w:hAnsi="Arial" w:cs="Arial"/>
          <w:color w:val="000000"/>
          <w:vertAlign w:val="superscript"/>
        </w:rPr>
        <w:t>15</w:t>
      </w:r>
      <w:r w:rsidRPr="00946B92">
        <w:rPr>
          <w:rFonts w:ascii="Arial" w:hAnsi="Arial" w:cs="Arial"/>
          <w:color w:val="000000"/>
        </w:rPr>
        <w:t xml:space="preserve">N </w:t>
      </w:r>
      <w:r w:rsidR="00D729F3" w:rsidRPr="00946B92">
        <w:rPr>
          <w:rFonts w:ascii="Arial" w:hAnsi="Arial" w:cs="Arial"/>
          <w:color w:val="000000"/>
        </w:rPr>
        <w:lastRenderedPageBreak/>
        <w:t xml:space="preserve">of </w:t>
      </w:r>
      <w:r w:rsidRPr="00946B92">
        <w:rPr>
          <w:rFonts w:ascii="Arial" w:hAnsi="Arial" w:cs="Arial"/>
          <w:color w:val="000000"/>
        </w:rPr>
        <w:t>P</w:t>
      </w:r>
      <w:r w:rsidR="00D729F3" w:rsidRPr="00946B92">
        <w:rPr>
          <w:rFonts w:ascii="Arial" w:hAnsi="Arial" w:cs="Arial"/>
          <w:color w:val="000000"/>
        </w:rPr>
        <w:t>O</w:t>
      </w:r>
      <w:r w:rsidRPr="00946B92">
        <w:rPr>
          <w:rFonts w:ascii="Arial" w:hAnsi="Arial" w:cs="Arial"/>
          <w:color w:val="000000"/>
        </w:rPr>
        <w:t>N can change drasti</w:t>
      </w:r>
      <w:r w:rsidR="00D729F3" w:rsidRPr="00946B92">
        <w:rPr>
          <w:rFonts w:ascii="Arial" w:hAnsi="Arial" w:cs="Arial"/>
          <w:color w:val="000000"/>
        </w:rPr>
        <w:t>cally duri</w:t>
      </w:r>
      <w:r w:rsidR="002B3045" w:rsidRPr="00946B92">
        <w:rPr>
          <w:rFonts w:ascii="Arial" w:hAnsi="Arial" w:cs="Arial"/>
          <w:color w:val="000000"/>
        </w:rPr>
        <w:t>ng incubations; (f</w:t>
      </w:r>
      <w:r w:rsidR="00D729F3" w:rsidRPr="00946B92">
        <w:rPr>
          <w:rFonts w:ascii="Arial" w:hAnsi="Arial" w:cs="Arial"/>
          <w:color w:val="000000"/>
        </w:rPr>
        <w:t xml:space="preserve">) The time of initiation </w:t>
      </w:r>
      <w:r w:rsidRPr="00946B92">
        <w:rPr>
          <w:rFonts w:ascii="Arial" w:hAnsi="Arial" w:cs="Arial"/>
          <w:color w:val="000000"/>
        </w:rPr>
        <w:t xml:space="preserve">and </w:t>
      </w:r>
      <w:r w:rsidR="00D729F3" w:rsidRPr="00946B92">
        <w:rPr>
          <w:rFonts w:ascii="Arial" w:hAnsi="Arial" w:cs="Arial"/>
          <w:color w:val="000000"/>
        </w:rPr>
        <w:t xml:space="preserve">the </w:t>
      </w:r>
      <w:r w:rsidRPr="00946B92">
        <w:rPr>
          <w:rFonts w:ascii="Arial" w:hAnsi="Arial" w:cs="Arial"/>
          <w:color w:val="000000"/>
        </w:rPr>
        <w:t xml:space="preserve">duration of incubations </w:t>
      </w:r>
      <w:r w:rsidR="002B3045" w:rsidRPr="00946B92">
        <w:rPr>
          <w:rFonts w:ascii="Arial" w:hAnsi="Arial" w:cs="Arial"/>
          <w:color w:val="000000"/>
        </w:rPr>
        <w:t>varies among workers; (g</w:t>
      </w:r>
      <w:r w:rsidR="00D729F3" w:rsidRPr="00946B92">
        <w:rPr>
          <w:rFonts w:ascii="Arial" w:hAnsi="Arial" w:cs="Arial"/>
          <w:color w:val="000000"/>
        </w:rPr>
        <w:t xml:space="preserve">) Testing the </w:t>
      </w:r>
      <w:r w:rsidR="00D729F3" w:rsidRPr="00946B92">
        <w:rPr>
          <w:rFonts w:ascii="Arial" w:hAnsi="Arial" w:cs="Arial"/>
          <w:color w:val="000000"/>
          <w:vertAlign w:val="superscript"/>
        </w:rPr>
        <w:t>15</w:t>
      </w:r>
      <w:r w:rsidR="00D729F3" w:rsidRPr="00946B92">
        <w:rPr>
          <w:rFonts w:ascii="Arial" w:hAnsi="Arial" w:cs="Arial"/>
          <w:color w:val="000000"/>
        </w:rPr>
        <w:t xml:space="preserve">N ammonium and nitrate contamination of </w:t>
      </w:r>
      <w:r w:rsidR="00D729F3" w:rsidRPr="00946B92">
        <w:rPr>
          <w:rFonts w:ascii="Arial" w:hAnsi="Arial" w:cs="Arial"/>
          <w:color w:val="000000"/>
          <w:vertAlign w:val="superscript"/>
        </w:rPr>
        <w:t>15</w:t>
      </w:r>
      <w:r w:rsidR="00D729F3" w:rsidRPr="00946B92">
        <w:rPr>
          <w:rFonts w:ascii="Arial" w:hAnsi="Arial" w:cs="Arial"/>
          <w:color w:val="000000"/>
        </w:rPr>
        <w:t>N</w:t>
      </w:r>
      <w:r w:rsidR="00D729F3" w:rsidRPr="00946B92">
        <w:rPr>
          <w:rFonts w:ascii="Arial" w:hAnsi="Arial" w:cs="Arial"/>
          <w:color w:val="000000"/>
          <w:vertAlign w:val="subscript"/>
        </w:rPr>
        <w:t>2</w:t>
      </w:r>
      <w:r w:rsidR="00D729F3" w:rsidRPr="00946B92">
        <w:rPr>
          <w:rFonts w:ascii="Arial" w:hAnsi="Arial" w:cs="Arial"/>
          <w:color w:val="000000"/>
        </w:rPr>
        <w:t xml:space="preserve"> gas stocks </w:t>
      </w:r>
      <w:r w:rsidR="00D729F3" w:rsidRPr="00946B92">
        <w:rPr>
          <w:rFonts w:ascii="Arial" w:hAnsi="Arial" w:cs="Arial"/>
          <w:i/>
          <w:color w:val="000000"/>
        </w:rPr>
        <w:t>(see</w:t>
      </w:r>
      <w:r w:rsidR="00D729F3" w:rsidRPr="00946B92">
        <w:rPr>
          <w:rFonts w:ascii="Arial" w:hAnsi="Arial" w:cs="Arial"/>
          <w:color w:val="000000"/>
        </w:rPr>
        <w:t xml:space="preserve"> </w:t>
      </w:r>
      <w:proofErr w:type="spellStart"/>
      <w:r w:rsidR="00D729F3" w:rsidRPr="00946B92">
        <w:rPr>
          <w:rFonts w:ascii="Arial" w:hAnsi="Arial" w:cs="Arial"/>
          <w:color w:val="000000"/>
        </w:rPr>
        <w:t>Dabudo</w:t>
      </w:r>
      <w:proofErr w:type="spellEnd"/>
      <w:r w:rsidR="00D729F3" w:rsidRPr="00946B92">
        <w:rPr>
          <w:rFonts w:ascii="Arial" w:hAnsi="Arial" w:cs="Arial"/>
          <w:color w:val="000000"/>
        </w:rPr>
        <w:t xml:space="preserve"> et al. 201</w:t>
      </w:r>
      <w:r w:rsidR="00126729" w:rsidRPr="00946B92">
        <w:rPr>
          <w:rFonts w:ascii="Arial" w:hAnsi="Arial" w:cs="Arial"/>
          <w:color w:val="000000"/>
        </w:rPr>
        <w:t>4</w:t>
      </w:r>
      <w:r w:rsidR="00D729F3" w:rsidRPr="00946B92">
        <w:rPr>
          <w:rFonts w:ascii="Arial" w:hAnsi="Arial" w:cs="Arial"/>
          <w:color w:val="000000"/>
        </w:rPr>
        <w:t>) is impractical and can be costly</w:t>
      </w:r>
      <w:r w:rsidR="002B3045" w:rsidRPr="00946B92">
        <w:rPr>
          <w:rFonts w:ascii="Arial" w:hAnsi="Arial" w:cs="Arial"/>
          <w:color w:val="000000"/>
        </w:rPr>
        <w:t>; (h</w:t>
      </w:r>
      <w:r w:rsidR="00D729F3" w:rsidRPr="00946B92">
        <w:rPr>
          <w:rFonts w:ascii="Arial" w:hAnsi="Arial" w:cs="Arial"/>
          <w:color w:val="000000"/>
        </w:rPr>
        <w:t xml:space="preserve">) The analytical </w:t>
      </w:r>
      <w:r w:rsidRPr="00946B92">
        <w:rPr>
          <w:rFonts w:ascii="Arial" w:hAnsi="Arial" w:cs="Arial"/>
          <w:color w:val="000000"/>
        </w:rPr>
        <w:t>error</w:t>
      </w:r>
      <w:r w:rsidR="002B3045" w:rsidRPr="00946B92">
        <w:rPr>
          <w:rFonts w:ascii="Arial" w:hAnsi="Arial" w:cs="Arial"/>
          <w:color w:val="000000"/>
        </w:rPr>
        <w:t>s</w:t>
      </w:r>
      <w:r w:rsidRPr="00946B92">
        <w:rPr>
          <w:rFonts w:ascii="Arial" w:hAnsi="Arial" w:cs="Arial"/>
          <w:color w:val="000000"/>
        </w:rPr>
        <w:t xml:space="preserve"> associated with </w:t>
      </w:r>
      <w:r w:rsidR="00D729F3" w:rsidRPr="00946B92">
        <w:rPr>
          <w:rFonts w:ascii="Arial" w:hAnsi="Arial" w:cs="Arial"/>
          <w:color w:val="000000"/>
        </w:rPr>
        <w:t xml:space="preserve">inherent </w:t>
      </w:r>
      <w:r w:rsidRPr="00946B92">
        <w:rPr>
          <w:rFonts w:ascii="Arial" w:hAnsi="Arial" w:cs="Arial"/>
          <w:color w:val="000000"/>
        </w:rPr>
        <w:t xml:space="preserve">analyses </w:t>
      </w:r>
      <w:r w:rsidR="002B3045" w:rsidRPr="00946B92">
        <w:rPr>
          <w:rFonts w:ascii="Arial" w:hAnsi="Arial" w:cs="Arial"/>
          <w:color w:val="000000"/>
        </w:rPr>
        <w:t xml:space="preserve">are </w:t>
      </w:r>
      <w:r w:rsidRPr="00946B92">
        <w:rPr>
          <w:rFonts w:ascii="Arial" w:hAnsi="Arial" w:cs="Arial"/>
          <w:color w:val="000000"/>
        </w:rPr>
        <w:t xml:space="preserve">not well defined, rendering </w:t>
      </w:r>
      <w:r w:rsidR="00D729F3" w:rsidRPr="00946B92">
        <w:rPr>
          <w:rFonts w:ascii="Arial" w:hAnsi="Arial" w:cs="Arial"/>
          <w:color w:val="000000"/>
        </w:rPr>
        <w:t xml:space="preserve">accurate </w:t>
      </w:r>
      <w:r w:rsidRPr="00946B92">
        <w:rPr>
          <w:rFonts w:ascii="Arial" w:hAnsi="Arial" w:cs="Arial"/>
          <w:color w:val="000000"/>
        </w:rPr>
        <w:t>propagation of experimental error</w:t>
      </w:r>
      <w:r w:rsidR="00D729F3" w:rsidRPr="00946B92">
        <w:rPr>
          <w:rFonts w:ascii="Arial" w:hAnsi="Arial" w:cs="Arial"/>
          <w:color w:val="000000"/>
        </w:rPr>
        <w:t xml:space="preserve"> difficult</w:t>
      </w:r>
      <w:r w:rsidRPr="00946B92">
        <w:rPr>
          <w:rFonts w:ascii="Arial" w:hAnsi="Arial" w:cs="Arial"/>
          <w:color w:val="000000"/>
        </w:rPr>
        <w:t xml:space="preserve"> </w:t>
      </w:r>
      <w:r w:rsidR="000E0AEC" w:rsidRPr="00946B92">
        <w:rPr>
          <w:rFonts w:ascii="Arial" w:hAnsi="Arial" w:cs="Arial"/>
          <w:color w:val="000000"/>
        </w:rPr>
        <w:t xml:space="preserve">(as per Montoya </w:t>
      </w:r>
      <w:r w:rsidR="006C0211">
        <w:rPr>
          <w:rFonts w:ascii="Arial" w:hAnsi="Arial" w:cs="Arial"/>
          <w:color w:val="000000"/>
        </w:rPr>
        <w:t xml:space="preserve">et al. </w:t>
      </w:r>
      <w:r w:rsidR="002B3045" w:rsidRPr="00946B92">
        <w:rPr>
          <w:rFonts w:ascii="Arial" w:hAnsi="Arial" w:cs="Arial"/>
          <w:color w:val="000000"/>
        </w:rPr>
        <w:t>1996); (</w:t>
      </w:r>
      <w:proofErr w:type="spellStart"/>
      <w:r w:rsidR="002B3045" w:rsidRPr="00946B92">
        <w:rPr>
          <w:rFonts w:ascii="Arial" w:hAnsi="Arial" w:cs="Arial"/>
          <w:color w:val="000000"/>
        </w:rPr>
        <w:t>i</w:t>
      </w:r>
      <w:proofErr w:type="spellEnd"/>
      <w:r w:rsidR="00D729F3" w:rsidRPr="00946B92">
        <w:rPr>
          <w:rFonts w:ascii="Arial" w:hAnsi="Arial" w:cs="Arial"/>
          <w:color w:val="000000"/>
        </w:rPr>
        <w:t xml:space="preserve">) </w:t>
      </w:r>
      <w:r w:rsidR="00D729F3" w:rsidRPr="00946B92">
        <w:rPr>
          <w:rFonts w:ascii="Arial" w:hAnsi="Arial" w:cs="Arial"/>
          <w:color w:val="000000"/>
          <w:vertAlign w:val="superscript"/>
        </w:rPr>
        <w:t>15</w:t>
      </w:r>
      <w:r w:rsidR="00D729F3" w:rsidRPr="00946B92">
        <w:rPr>
          <w:rFonts w:ascii="Arial" w:hAnsi="Arial" w:cs="Arial"/>
          <w:color w:val="000000"/>
        </w:rPr>
        <w:t>N</w:t>
      </w:r>
      <w:r w:rsidR="00D729F3" w:rsidRPr="00946B92">
        <w:rPr>
          <w:rFonts w:ascii="Arial" w:hAnsi="Arial" w:cs="Arial"/>
          <w:color w:val="000000"/>
          <w:vertAlign w:val="subscript"/>
        </w:rPr>
        <w:t>2</w:t>
      </w:r>
      <w:r w:rsidRPr="00946B92">
        <w:rPr>
          <w:rFonts w:ascii="Arial" w:hAnsi="Arial" w:cs="Arial"/>
          <w:color w:val="000000"/>
        </w:rPr>
        <w:t xml:space="preserve"> bubble </w:t>
      </w:r>
      <w:r w:rsidR="00D729F3" w:rsidRPr="00946B92">
        <w:rPr>
          <w:rFonts w:ascii="Arial" w:hAnsi="Arial" w:cs="Arial"/>
          <w:color w:val="000000"/>
        </w:rPr>
        <w:t>release can prove costly.</w:t>
      </w:r>
    </w:p>
    <w:p w14:paraId="5A0AA404" w14:textId="3D048BB7" w:rsidR="0061470E" w:rsidRPr="00946B92" w:rsidRDefault="002B3045" w:rsidP="005175F7">
      <w:pPr>
        <w:spacing w:before="100" w:after="100"/>
        <w:ind w:left="720"/>
        <w:jc w:val="both"/>
        <w:rPr>
          <w:rFonts w:ascii="Arial" w:hAnsi="Arial" w:cs="Arial"/>
          <w:color w:val="000000"/>
        </w:rPr>
      </w:pPr>
      <w:r w:rsidRPr="00946B92">
        <w:rPr>
          <w:rFonts w:ascii="Arial" w:hAnsi="Arial" w:cs="Arial"/>
          <w:color w:val="000000"/>
        </w:rPr>
        <w:t>Moving forward, town hall participants concurred that colla</w:t>
      </w:r>
      <w:r w:rsidR="0061470E" w:rsidRPr="00946B92">
        <w:rPr>
          <w:rFonts w:ascii="Arial" w:hAnsi="Arial" w:cs="Arial"/>
          <w:color w:val="000000"/>
        </w:rPr>
        <w:t>tion of pertinent information,</w:t>
      </w:r>
      <w:r w:rsidRPr="00946B92">
        <w:rPr>
          <w:rFonts w:ascii="Arial" w:hAnsi="Arial" w:cs="Arial"/>
          <w:color w:val="000000"/>
        </w:rPr>
        <w:t xml:space="preserve"> supporting data</w:t>
      </w:r>
      <w:r w:rsidR="0061470E" w:rsidRPr="00946B92">
        <w:rPr>
          <w:rFonts w:ascii="Arial" w:hAnsi="Arial" w:cs="Arial"/>
          <w:color w:val="000000"/>
        </w:rPr>
        <w:t>, and recommendations</w:t>
      </w:r>
      <w:r w:rsidRPr="00946B92">
        <w:rPr>
          <w:rFonts w:ascii="Arial" w:hAnsi="Arial" w:cs="Arial"/>
          <w:color w:val="000000"/>
        </w:rPr>
        <w:t xml:space="preserve"> in a “best practices” document could help alleviate some</w:t>
      </w:r>
      <w:r w:rsidR="00751F16">
        <w:rPr>
          <w:rFonts w:ascii="Arial" w:hAnsi="Arial" w:cs="Arial"/>
          <w:color w:val="000000"/>
        </w:rPr>
        <w:t xml:space="preserve"> of these</w:t>
      </w:r>
      <w:r w:rsidRPr="00946B92">
        <w:rPr>
          <w:rFonts w:ascii="Arial" w:hAnsi="Arial" w:cs="Arial"/>
          <w:color w:val="000000"/>
        </w:rPr>
        <w:t xml:space="preserve"> obstacles </w:t>
      </w:r>
      <w:r w:rsidR="00751F16">
        <w:rPr>
          <w:rFonts w:ascii="Arial" w:hAnsi="Arial" w:cs="Arial"/>
          <w:color w:val="000000"/>
        </w:rPr>
        <w:t>i</w:t>
      </w:r>
      <w:r w:rsidR="00751F16" w:rsidRPr="00946B92">
        <w:rPr>
          <w:rFonts w:ascii="Arial" w:hAnsi="Arial" w:cs="Arial"/>
          <w:color w:val="000000"/>
        </w:rPr>
        <w:t xml:space="preserve">n </w:t>
      </w:r>
      <w:r w:rsidRPr="00946B92">
        <w:rPr>
          <w:rFonts w:ascii="Arial" w:hAnsi="Arial" w:cs="Arial"/>
          <w:color w:val="000000"/>
        </w:rPr>
        <w:t>relatively short order</w:t>
      </w:r>
      <w:r w:rsidR="0061470E" w:rsidRPr="00946B92">
        <w:rPr>
          <w:rFonts w:ascii="Arial" w:hAnsi="Arial" w:cs="Arial"/>
          <w:color w:val="000000"/>
        </w:rPr>
        <w:t xml:space="preserve"> (</w:t>
      </w:r>
      <w:r w:rsidR="0061470E" w:rsidRPr="00946B92">
        <w:rPr>
          <w:rFonts w:ascii="Arial" w:hAnsi="Arial" w:cs="Arial"/>
          <w:i/>
          <w:color w:val="000000"/>
        </w:rPr>
        <w:t>e.g.,</w:t>
      </w:r>
      <w:r w:rsidR="0061470E" w:rsidRPr="00946B92">
        <w:rPr>
          <w:rFonts w:ascii="Arial" w:hAnsi="Arial" w:cs="Arial"/>
          <w:color w:val="000000"/>
        </w:rPr>
        <w:t xml:space="preserve"> reporting detected </w:t>
      </w:r>
      <w:r w:rsidR="0061470E" w:rsidRPr="00946B92">
        <w:rPr>
          <w:rFonts w:ascii="Arial" w:hAnsi="Arial" w:cs="Arial"/>
          <w:color w:val="000000"/>
          <w:vertAlign w:val="superscript"/>
        </w:rPr>
        <w:t>15</w:t>
      </w:r>
      <w:r w:rsidR="0061470E" w:rsidRPr="00946B92">
        <w:rPr>
          <w:rFonts w:ascii="Arial" w:hAnsi="Arial" w:cs="Arial"/>
          <w:color w:val="000000"/>
        </w:rPr>
        <w:t xml:space="preserve">N ammonium contamination for specific lots of </w:t>
      </w:r>
      <w:r w:rsidR="0061470E" w:rsidRPr="00946B92">
        <w:rPr>
          <w:rFonts w:ascii="Arial" w:hAnsi="Arial" w:cs="Arial"/>
          <w:color w:val="000000"/>
          <w:vertAlign w:val="superscript"/>
        </w:rPr>
        <w:t>15</w:t>
      </w:r>
      <w:r w:rsidR="0061470E" w:rsidRPr="00946B92">
        <w:rPr>
          <w:rFonts w:ascii="Arial" w:hAnsi="Arial" w:cs="Arial"/>
          <w:color w:val="000000"/>
        </w:rPr>
        <w:t>N</w:t>
      </w:r>
      <w:r w:rsidR="0061470E" w:rsidRPr="00946B92">
        <w:rPr>
          <w:rFonts w:ascii="Arial" w:hAnsi="Arial" w:cs="Arial"/>
          <w:color w:val="000000"/>
          <w:vertAlign w:val="subscript"/>
        </w:rPr>
        <w:t>2</w:t>
      </w:r>
      <w:r w:rsidR="0061470E" w:rsidRPr="00946B92">
        <w:rPr>
          <w:rFonts w:ascii="Arial" w:hAnsi="Arial" w:cs="Arial"/>
          <w:color w:val="000000"/>
        </w:rPr>
        <w:t xml:space="preserve"> gas in the “living document</w:t>
      </w:r>
      <w:r w:rsidRPr="00946B92">
        <w:rPr>
          <w:rFonts w:ascii="Arial" w:hAnsi="Arial" w:cs="Arial"/>
          <w:color w:val="000000"/>
        </w:rPr>
        <w:t>,</w:t>
      </w:r>
      <w:r w:rsidR="0061470E" w:rsidRPr="00946B92">
        <w:rPr>
          <w:rFonts w:ascii="Arial" w:hAnsi="Arial" w:cs="Arial"/>
          <w:color w:val="000000"/>
        </w:rPr>
        <w:t>”</w:t>
      </w:r>
      <w:r w:rsidR="002828C6" w:rsidRPr="00946B92">
        <w:rPr>
          <w:rFonts w:ascii="Arial" w:hAnsi="Arial" w:cs="Arial"/>
          <w:color w:val="000000"/>
        </w:rPr>
        <w:t xml:space="preserve"> recommendation</w:t>
      </w:r>
      <w:r w:rsidR="0061470E" w:rsidRPr="00946B92">
        <w:rPr>
          <w:rFonts w:ascii="Arial" w:hAnsi="Arial" w:cs="Arial"/>
          <w:color w:val="000000"/>
        </w:rPr>
        <w:t xml:space="preserve"> to report initial and final controls of </w:t>
      </w:r>
      <w:r w:rsidR="0061470E" w:rsidRPr="00946B92">
        <w:rPr>
          <w:rFonts w:ascii="Symbol" w:hAnsi="Symbol" w:cs="Arial"/>
          <w:color w:val="000000"/>
        </w:rPr>
        <w:t></w:t>
      </w:r>
      <w:r w:rsidR="0061470E" w:rsidRPr="00946B92">
        <w:rPr>
          <w:rFonts w:ascii="Arial" w:hAnsi="Arial" w:cs="Arial"/>
          <w:color w:val="000000"/>
          <w:vertAlign w:val="superscript"/>
        </w:rPr>
        <w:t>15</w:t>
      </w:r>
      <w:r w:rsidR="0061470E" w:rsidRPr="00946B92">
        <w:rPr>
          <w:rFonts w:ascii="Arial" w:hAnsi="Arial" w:cs="Arial"/>
          <w:color w:val="000000"/>
        </w:rPr>
        <w:t>N PON in publications, recommendation on a standardized length of field incubations</w:t>
      </w:r>
      <w:r w:rsidR="00751F16" w:rsidRPr="00946B92">
        <w:rPr>
          <w:rFonts w:ascii="Arial" w:hAnsi="Arial" w:cs="Arial"/>
          <w:color w:val="000000"/>
        </w:rPr>
        <w:t>)</w:t>
      </w:r>
      <w:r w:rsidR="00751F16">
        <w:rPr>
          <w:rFonts w:ascii="Arial" w:hAnsi="Arial" w:cs="Arial"/>
          <w:color w:val="000000"/>
        </w:rPr>
        <w:t>. However,</w:t>
      </w:r>
      <w:r w:rsidR="00751F16" w:rsidRPr="00946B92">
        <w:rPr>
          <w:rFonts w:ascii="Arial" w:hAnsi="Arial" w:cs="Arial"/>
          <w:color w:val="000000"/>
        </w:rPr>
        <w:t xml:space="preserve"> </w:t>
      </w:r>
      <w:r w:rsidR="0061470E" w:rsidRPr="00946B92">
        <w:rPr>
          <w:rFonts w:ascii="Arial" w:hAnsi="Arial" w:cs="Arial"/>
          <w:color w:val="000000"/>
        </w:rPr>
        <w:t>other</w:t>
      </w:r>
      <w:r w:rsidRPr="00946B92">
        <w:rPr>
          <w:rFonts w:ascii="Arial" w:hAnsi="Arial" w:cs="Arial"/>
          <w:color w:val="000000"/>
        </w:rPr>
        <w:t xml:space="preserve"> obstacles</w:t>
      </w:r>
      <w:r w:rsidR="0061470E" w:rsidRPr="00946B92">
        <w:rPr>
          <w:rFonts w:ascii="Arial" w:hAnsi="Arial" w:cs="Arial"/>
          <w:color w:val="000000"/>
        </w:rPr>
        <w:t xml:space="preserve"> will</w:t>
      </w:r>
      <w:r w:rsidRPr="00946B92">
        <w:rPr>
          <w:rFonts w:ascii="Arial" w:hAnsi="Arial" w:cs="Arial"/>
          <w:color w:val="000000"/>
        </w:rPr>
        <w:t xml:space="preserve"> </w:t>
      </w:r>
      <w:r w:rsidR="00751F16">
        <w:rPr>
          <w:rFonts w:ascii="Arial" w:hAnsi="Arial" w:cs="Arial"/>
          <w:color w:val="000000"/>
        </w:rPr>
        <w:t>require</w:t>
      </w:r>
      <w:r w:rsidR="00751F16" w:rsidRPr="00946B92">
        <w:rPr>
          <w:rFonts w:ascii="Arial" w:hAnsi="Arial" w:cs="Arial"/>
          <w:color w:val="000000"/>
        </w:rPr>
        <w:t xml:space="preserve"> </w:t>
      </w:r>
      <w:r w:rsidR="00751F16">
        <w:rPr>
          <w:rFonts w:ascii="Arial" w:hAnsi="Arial" w:cs="Arial"/>
          <w:color w:val="000000"/>
        </w:rPr>
        <w:t>additional</w:t>
      </w:r>
      <w:r w:rsidR="00751F16" w:rsidRPr="00946B92">
        <w:rPr>
          <w:rFonts w:ascii="Arial" w:hAnsi="Arial" w:cs="Arial"/>
          <w:color w:val="000000"/>
        </w:rPr>
        <w:t xml:space="preserve"> </w:t>
      </w:r>
      <w:r w:rsidRPr="00946B92">
        <w:rPr>
          <w:rFonts w:ascii="Arial" w:hAnsi="Arial" w:cs="Arial"/>
          <w:color w:val="000000"/>
        </w:rPr>
        <w:t>laboratory or field tests</w:t>
      </w:r>
      <w:r w:rsidR="0061470E" w:rsidRPr="00946B92">
        <w:rPr>
          <w:rFonts w:ascii="Arial" w:hAnsi="Arial" w:cs="Arial"/>
          <w:color w:val="000000"/>
        </w:rPr>
        <w:t xml:space="preserve"> (</w:t>
      </w:r>
      <w:r w:rsidR="0061470E" w:rsidRPr="00946B92">
        <w:rPr>
          <w:rFonts w:ascii="Arial" w:hAnsi="Arial" w:cs="Arial"/>
          <w:i/>
          <w:color w:val="000000"/>
        </w:rPr>
        <w:t>e.g.,</w:t>
      </w:r>
      <w:r w:rsidR="0061470E" w:rsidRPr="00946B92">
        <w:rPr>
          <w:rFonts w:ascii="Arial" w:hAnsi="Arial" w:cs="Arial"/>
          <w:color w:val="000000"/>
        </w:rPr>
        <w:t xml:space="preserve"> standardization of MIMS measurements</w:t>
      </w:r>
      <w:r w:rsidR="0078210C" w:rsidRPr="00946B92">
        <w:rPr>
          <w:rFonts w:ascii="Arial" w:hAnsi="Arial" w:cs="Arial"/>
          <w:color w:val="000000"/>
        </w:rPr>
        <w:t xml:space="preserve">, test of </w:t>
      </w:r>
      <w:r w:rsidR="0078210C" w:rsidRPr="00946B92">
        <w:rPr>
          <w:rFonts w:ascii="Arial" w:hAnsi="Arial" w:cs="Arial"/>
          <w:color w:val="000000"/>
          <w:vertAlign w:val="superscript"/>
        </w:rPr>
        <w:t>15</w:t>
      </w:r>
      <w:r w:rsidR="0078210C" w:rsidRPr="00946B92">
        <w:rPr>
          <w:rFonts w:ascii="Arial" w:hAnsi="Arial" w:cs="Arial"/>
          <w:color w:val="000000"/>
        </w:rPr>
        <w:t>N</w:t>
      </w:r>
      <w:r w:rsidR="0078210C" w:rsidRPr="00946B92">
        <w:rPr>
          <w:rFonts w:ascii="Arial" w:hAnsi="Arial" w:cs="Arial"/>
          <w:color w:val="000000"/>
          <w:vertAlign w:val="subscript"/>
        </w:rPr>
        <w:t>2</w:t>
      </w:r>
      <w:r w:rsidR="0078210C" w:rsidRPr="00946B92">
        <w:rPr>
          <w:rFonts w:ascii="Arial" w:hAnsi="Arial" w:cs="Arial"/>
          <w:color w:val="000000"/>
        </w:rPr>
        <w:t xml:space="preserve"> sample collection and preservation protocols</w:t>
      </w:r>
      <w:r w:rsidR="0061470E" w:rsidRPr="00946B92">
        <w:rPr>
          <w:rFonts w:ascii="Arial" w:hAnsi="Arial" w:cs="Arial"/>
          <w:color w:val="000000"/>
        </w:rPr>
        <w:t>)</w:t>
      </w:r>
      <w:r w:rsidRPr="00946B92">
        <w:rPr>
          <w:rFonts w:ascii="Arial" w:hAnsi="Arial" w:cs="Arial"/>
          <w:color w:val="000000"/>
        </w:rPr>
        <w:t xml:space="preserve"> and/or </w:t>
      </w:r>
      <w:r w:rsidR="0061470E" w:rsidRPr="00946B92">
        <w:rPr>
          <w:rFonts w:ascii="Arial" w:hAnsi="Arial" w:cs="Arial"/>
          <w:color w:val="000000"/>
        </w:rPr>
        <w:t>reaching cons</w:t>
      </w:r>
      <w:r w:rsidRPr="00946B92">
        <w:rPr>
          <w:rFonts w:ascii="Arial" w:hAnsi="Arial" w:cs="Arial"/>
          <w:color w:val="000000"/>
        </w:rPr>
        <w:t>ensus on the interpretation of some</w:t>
      </w:r>
      <w:r w:rsidR="0061470E" w:rsidRPr="00946B92">
        <w:rPr>
          <w:rFonts w:ascii="Arial" w:hAnsi="Arial" w:cs="Arial"/>
          <w:color w:val="000000"/>
        </w:rPr>
        <w:t xml:space="preserve"> types</w:t>
      </w:r>
      <w:r w:rsidRPr="00946B92">
        <w:rPr>
          <w:rFonts w:ascii="Arial" w:hAnsi="Arial" w:cs="Arial"/>
          <w:color w:val="000000"/>
        </w:rPr>
        <w:t xml:space="preserve"> analytical data</w:t>
      </w:r>
      <w:r w:rsidR="0061470E" w:rsidRPr="00946B92">
        <w:rPr>
          <w:rFonts w:ascii="Arial" w:hAnsi="Arial" w:cs="Arial"/>
          <w:color w:val="000000"/>
        </w:rPr>
        <w:t xml:space="preserve"> (</w:t>
      </w:r>
      <w:r w:rsidR="0061470E" w:rsidRPr="00946B92">
        <w:rPr>
          <w:rFonts w:ascii="Arial" w:hAnsi="Arial" w:cs="Arial"/>
          <w:i/>
          <w:color w:val="000000"/>
        </w:rPr>
        <w:t>e.g.</w:t>
      </w:r>
      <w:r w:rsidR="0061470E" w:rsidRPr="00946B92">
        <w:rPr>
          <w:rFonts w:ascii="Arial" w:hAnsi="Arial" w:cs="Arial"/>
          <w:color w:val="000000"/>
        </w:rPr>
        <w:t xml:space="preserve">, identifying the lower limit of quantitation of </w:t>
      </w:r>
      <w:r w:rsidR="0061470E" w:rsidRPr="00946B92">
        <w:rPr>
          <w:rFonts w:ascii="Symbol" w:hAnsi="Symbol" w:cs="Arial"/>
          <w:color w:val="000000"/>
        </w:rPr>
        <w:t></w:t>
      </w:r>
      <w:r w:rsidR="0061470E" w:rsidRPr="00946B92">
        <w:rPr>
          <w:rFonts w:ascii="Arial" w:hAnsi="Arial" w:cs="Arial"/>
          <w:color w:val="000000"/>
          <w:vertAlign w:val="superscript"/>
        </w:rPr>
        <w:t>15</w:t>
      </w:r>
      <w:r w:rsidR="0061470E" w:rsidRPr="00946B92">
        <w:rPr>
          <w:rFonts w:ascii="Arial" w:hAnsi="Arial" w:cs="Arial"/>
          <w:color w:val="000000"/>
        </w:rPr>
        <w:t>N PON on various Elemental Analyzer-Isotope Ratio Mass Spectrometers)</w:t>
      </w:r>
      <w:r w:rsidRPr="00946B92">
        <w:rPr>
          <w:rFonts w:ascii="Arial" w:hAnsi="Arial" w:cs="Arial"/>
          <w:color w:val="000000"/>
        </w:rPr>
        <w:t>.</w:t>
      </w:r>
      <w:r w:rsidR="0028539F" w:rsidRPr="00946B92">
        <w:rPr>
          <w:rFonts w:ascii="Arial" w:hAnsi="Arial" w:cs="Arial"/>
          <w:color w:val="000000"/>
        </w:rPr>
        <w:t xml:space="preserve"> Importantly, the “living document” will </w:t>
      </w:r>
      <w:r w:rsidR="00A63E1F" w:rsidRPr="00946B92">
        <w:rPr>
          <w:rFonts w:ascii="Arial" w:hAnsi="Arial" w:cs="Arial"/>
          <w:color w:val="000000"/>
        </w:rPr>
        <w:t>iterate</w:t>
      </w:r>
      <w:r w:rsidR="0028539F" w:rsidRPr="00946B92">
        <w:rPr>
          <w:rFonts w:ascii="Arial" w:hAnsi="Arial" w:cs="Arial"/>
          <w:color w:val="000000"/>
        </w:rPr>
        <w:t xml:space="preserve"> on previous efforts to standardize </w:t>
      </w:r>
      <w:r w:rsidR="0028539F" w:rsidRPr="00946B92">
        <w:rPr>
          <w:rFonts w:ascii="Arial" w:hAnsi="Arial" w:cs="Arial"/>
          <w:color w:val="000000"/>
          <w:vertAlign w:val="superscript"/>
        </w:rPr>
        <w:t>15</w:t>
      </w:r>
      <w:r w:rsidR="0028539F" w:rsidRPr="00946B92">
        <w:rPr>
          <w:rFonts w:ascii="Arial" w:hAnsi="Arial" w:cs="Arial"/>
          <w:color w:val="000000"/>
        </w:rPr>
        <w:t>N</w:t>
      </w:r>
      <w:r w:rsidR="0028539F" w:rsidRPr="00946B92">
        <w:rPr>
          <w:rFonts w:ascii="Arial" w:hAnsi="Arial" w:cs="Arial"/>
          <w:color w:val="000000"/>
          <w:vertAlign w:val="subscript"/>
        </w:rPr>
        <w:t>2</w:t>
      </w:r>
      <w:r w:rsidR="0028539F" w:rsidRPr="00946B92">
        <w:rPr>
          <w:rFonts w:ascii="Arial" w:hAnsi="Arial" w:cs="Arial"/>
          <w:color w:val="000000"/>
        </w:rPr>
        <w:t xml:space="preserve"> measurements</w:t>
      </w:r>
      <w:r w:rsidR="00795C71" w:rsidRPr="00946B92">
        <w:rPr>
          <w:rFonts w:ascii="Arial" w:hAnsi="Arial" w:cs="Arial"/>
          <w:color w:val="000000"/>
        </w:rPr>
        <w:t xml:space="preserve"> </w:t>
      </w:r>
      <w:r w:rsidR="00A63E1F" w:rsidRPr="00946B92">
        <w:rPr>
          <w:rFonts w:ascii="Arial" w:hAnsi="Arial" w:cs="Arial"/>
          <w:color w:val="000000"/>
        </w:rPr>
        <w:t>during</w:t>
      </w:r>
      <w:r w:rsidR="0028539F" w:rsidRPr="00946B92">
        <w:rPr>
          <w:rFonts w:ascii="Arial" w:hAnsi="Arial" w:cs="Arial"/>
          <w:color w:val="000000"/>
        </w:rPr>
        <w:t xml:space="preserve"> a workshop in Kiel (2012</w:t>
      </w:r>
      <w:r w:rsidR="00A63E1F" w:rsidRPr="00946B92">
        <w:rPr>
          <w:rFonts w:ascii="Arial" w:hAnsi="Arial" w:cs="Arial"/>
          <w:color w:val="000000"/>
        </w:rPr>
        <w:t xml:space="preserve">; </w:t>
      </w:r>
      <w:hyperlink r:id="rId9" w:history="1">
        <w:r w:rsidR="00A63E1F" w:rsidRPr="005E6C67">
          <w:rPr>
            <w:rStyle w:val="Hyperlink"/>
            <w:rFonts w:ascii="Arial" w:hAnsi="Arial" w:cs="Arial"/>
          </w:rPr>
          <w:t>link to document</w:t>
        </w:r>
      </w:hyperlink>
      <w:r w:rsidR="0028539F" w:rsidRPr="00946B92">
        <w:rPr>
          <w:rFonts w:ascii="Arial" w:hAnsi="Arial" w:cs="Arial"/>
          <w:color w:val="000000"/>
        </w:rPr>
        <w:t>)</w:t>
      </w:r>
      <w:r w:rsidR="00A63E1F" w:rsidRPr="00946B92">
        <w:rPr>
          <w:rFonts w:ascii="Arial" w:hAnsi="Arial" w:cs="Arial"/>
          <w:color w:val="000000"/>
        </w:rPr>
        <w:t xml:space="preserve">, </w:t>
      </w:r>
      <w:r w:rsidR="00795C71" w:rsidRPr="00946B92">
        <w:rPr>
          <w:rFonts w:ascii="Arial" w:hAnsi="Arial" w:cs="Arial"/>
          <w:color w:val="000000"/>
        </w:rPr>
        <w:t xml:space="preserve">and </w:t>
      </w:r>
      <w:r w:rsidR="00A63E1F" w:rsidRPr="00946B92">
        <w:rPr>
          <w:rFonts w:ascii="Arial" w:hAnsi="Arial" w:cs="Arial"/>
          <w:color w:val="000000"/>
        </w:rPr>
        <w:t xml:space="preserve">from tests of different methods of introducing </w:t>
      </w:r>
      <w:r w:rsidR="00A63E1F" w:rsidRPr="00946B92">
        <w:rPr>
          <w:rFonts w:ascii="Arial" w:hAnsi="Arial" w:cs="Arial"/>
          <w:color w:val="000000"/>
          <w:vertAlign w:val="superscript"/>
        </w:rPr>
        <w:t>15</w:t>
      </w:r>
      <w:r w:rsidR="00A63E1F" w:rsidRPr="00946B92">
        <w:rPr>
          <w:rFonts w:ascii="Arial" w:hAnsi="Arial" w:cs="Arial"/>
          <w:color w:val="000000"/>
        </w:rPr>
        <w:t>N</w:t>
      </w:r>
      <w:r w:rsidR="00A63E1F" w:rsidRPr="00946B92">
        <w:rPr>
          <w:rFonts w:ascii="Arial" w:hAnsi="Arial" w:cs="Arial"/>
          <w:color w:val="000000"/>
          <w:vertAlign w:val="subscript"/>
        </w:rPr>
        <w:t>2</w:t>
      </w:r>
      <w:r w:rsidR="00A63E1F" w:rsidRPr="00946B92">
        <w:rPr>
          <w:rFonts w:ascii="Arial" w:hAnsi="Arial" w:cs="Arial"/>
          <w:color w:val="000000"/>
        </w:rPr>
        <w:t xml:space="preserve"> investigated by Mahaffey, Rees and </w:t>
      </w:r>
      <w:proofErr w:type="spellStart"/>
      <w:r w:rsidR="00A63E1F" w:rsidRPr="00946B92">
        <w:rPr>
          <w:rFonts w:ascii="Arial" w:hAnsi="Arial" w:cs="Arial"/>
          <w:color w:val="000000"/>
        </w:rPr>
        <w:t>Kitidis</w:t>
      </w:r>
      <w:proofErr w:type="spellEnd"/>
      <w:r w:rsidR="00A63E1F" w:rsidRPr="00946B92">
        <w:rPr>
          <w:rFonts w:ascii="Arial" w:hAnsi="Arial" w:cs="Arial"/>
          <w:color w:val="000000"/>
        </w:rPr>
        <w:t xml:space="preserve"> </w:t>
      </w:r>
      <w:r w:rsidR="00A63E1F" w:rsidRPr="00946B92">
        <w:rPr>
          <w:rFonts w:ascii="Arial" w:hAnsi="Arial" w:cs="Arial"/>
        </w:rPr>
        <w:t>(</w:t>
      </w:r>
      <w:r w:rsidR="00A63E1F" w:rsidRPr="00946B92">
        <w:rPr>
          <w:rFonts w:ascii="Arial" w:hAnsi="Arial" w:cs="Arial"/>
          <w:color w:val="0070C0"/>
        </w:rPr>
        <w:t xml:space="preserve">2013; </w:t>
      </w:r>
      <w:hyperlink r:id="rId10" w:history="1">
        <w:r w:rsidR="00A63E1F" w:rsidRPr="00D50B26">
          <w:rPr>
            <w:rStyle w:val="Hyperlink"/>
            <w:rFonts w:ascii="Arial" w:hAnsi="Arial" w:cs="Arial"/>
          </w:rPr>
          <w:t>link to document</w:t>
        </w:r>
      </w:hyperlink>
      <w:r w:rsidR="00A63E1F" w:rsidRPr="00946B92">
        <w:rPr>
          <w:rFonts w:ascii="Arial" w:hAnsi="Arial" w:cs="Arial"/>
          <w:color w:val="000000"/>
        </w:rPr>
        <w:t>)</w:t>
      </w:r>
      <w:r w:rsidR="00795C71" w:rsidRPr="00946B92">
        <w:rPr>
          <w:rFonts w:ascii="Arial" w:hAnsi="Arial" w:cs="Arial"/>
          <w:color w:val="000000"/>
        </w:rPr>
        <w:t>, and from published studies (</w:t>
      </w:r>
      <w:r w:rsidR="00795C71" w:rsidRPr="006C0211">
        <w:rPr>
          <w:rFonts w:ascii="Arial" w:hAnsi="Arial" w:cs="Arial"/>
          <w:i/>
          <w:color w:val="000000"/>
        </w:rPr>
        <w:t>e.g.</w:t>
      </w:r>
      <w:r w:rsidR="00795C71" w:rsidRPr="00946B92">
        <w:rPr>
          <w:rFonts w:ascii="Arial" w:hAnsi="Arial" w:cs="Arial"/>
          <w:color w:val="000000"/>
        </w:rPr>
        <w:t xml:space="preserve">, </w:t>
      </w:r>
      <w:proofErr w:type="spellStart"/>
      <w:r w:rsidR="00126729" w:rsidRPr="00946B92">
        <w:rPr>
          <w:rFonts w:ascii="Arial" w:hAnsi="Arial" w:cs="Arial"/>
          <w:color w:val="000000"/>
        </w:rPr>
        <w:t>Klawoon</w:t>
      </w:r>
      <w:proofErr w:type="spellEnd"/>
      <w:r w:rsidR="00126729" w:rsidRPr="00946B92">
        <w:rPr>
          <w:rFonts w:ascii="Arial" w:hAnsi="Arial" w:cs="Arial"/>
          <w:color w:val="000000"/>
        </w:rPr>
        <w:t xml:space="preserve"> et al. 2015, </w:t>
      </w:r>
      <w:proofErr w:type="spellStart"/>
      <w:r w:rsidR="00126729" w:rsidRPr="00946B92">
        <w:rPr>
          <w:rFonts w:ascii="Arial" w:hAnsi="Arial" w:cs="Arial"/>
          <w:color w:val="000000"/>
        </w:rPr>
        <w:t>Bombar</w:t>
      </w:r>
      <w:proofErr w:type="spellEnd"/>
      <w:r w:rsidR="00126729" w:rsidRPr="00946B92">
        <w:rPr>
          <w:rFonts w:ascii="Arial" w:hAnsi="Arial" w:cs="Arial"/>
          <w:color w:val="000000"/>
        </w:rPr>
        <w:t xml:space="preserve"> et al. 2018</w:t>
      </w:r>
      <w:r w:rsidR="00795C71" w:rsidRPr="00946B92">
        <w:rPr>
          <w:rFonts w:ascii="Arial" w:hAnsi="Arial" w:cs="Arial"/>
          <w:color w:val="000000"/>
        </w:rPr>
        <w:t>).</w:t>
      </w:r>
    </w:p>
    <w:p w14:paraId="49075C8A" w14:textId="2F9D7A49" w:rsidR="00DE754E" w:rsidRDefault="002B16B6" w:rsidP="00DE754E">
      <w:pPr>
        <w:ind w:left="720"/>
        <w:jc w:val="both"/>
        <w:rPr>
          <w:rFonts w:ascii="Arial" w:hAnsi="Arial" w:cs="Arial"/>
          <w:color w:val="000000"/>
        </w:rPr>
      </w:pPr>
      <w:r w:rsidRPr="00946B92">
        <w:rPr>
          <w:rFonts w:ascii="Arial" w:hAnsi="Arial" w:cs="Arial"/>
          <w:color w:val="000000"/>
        </w:rPr>
        <w:t>Other methods</w:t>
      </w:r>
      <w:r w:rsidR="00DE754E">
        <w:rPr>
          <w:rFonts w:ascii="Arial" w:hAnsi="Arial" w:cs="Arial"/>
          <w:color w:val="000000"/>
        </w:rPr>
        <w:t xml:space="preserve"> and tracers</w:t>
      </w:r>
      <w:r w:rsidRPr="00946B92">
        <w:rPr>
          <w:rFonts w:ascii="Arial" w:hAnsi="Arial" w:cs="Arial"/>
          <w:color w:val="000000"/>
        </w:rPr>
        <w:t xml:space="preserve"> </w:t>
      </w:r>
      <w:r w:rsidR="0061470E" w:rsidRPr="00946B92">
        <w:rPr>
          <w:rFonts w:ascii="Arial" w:hAnsi="Arial" w:cs="Arial"/>
          <w:color w:val="000000"/>
        </w:rPr>
        <w:t>to estimate N</w:t>
      </w:r>
      <w:r w:rsidR="0061470E" w:rsidRPr="00946B92">
        <w:rPr>
          <w:rFonts w:ascii="Arial" w:hAnsi="Arial" w:cs="Arial"/>
          <w:color w:val="000000"/>
          <w:vertAlign w:val="subscript"/>
        </w:rPr>
        <w:t>2</w:t>
      </w:r>
      <w:r w:rsidR="0061470E" w:rsidRPr="00946B92">
        <w:rPr>
          <w:rFonts w:ascii="Arial" w:hAnsi="Arial" w:cs="Arial"/>
          <w:color w:val="000000"/>
        </w:rPr>
        <w:t xml:space="preserve"> fixation rates that are complementary </w:t>
      </w:r>
      <w:r w:rsidR="00DE754E">
        <w:rPr>
          <w:rFonts w:ascii="Arial" w:hAnsi="Arial" w:cs="Arial"/>
          <w:color w:val="000000"/>
        </w:rPr>
        <w:t xml:space="preserve">to </w:t>
      </w:r>
      <w:r w:rsidR="00DE754E" w:rsidRPr="00213DB4">
        <w:rPr>
          <w:rFonts w:ascii="Arial" w:hAnsi="Arial" w:cs="Arial"/>
          <w:color w:val="000000"/>
          <w:vertAlign w:val="superscript"/>
        </w:rPr>
        <w:t>15</w:t>
      </w:r>
      <w:r w:rsidR="00DE754E">
        <w:rPr>
          <w:rFonts w:ascii="Arial" w:hAnsi="Arial" w:cs="Arial"/>
          <w:color w:val="000000"/>
        </w:rPr>
        <w:t>N</w:t>
      </w:r>
      <w:r w:rsidR="00DE754E" w:rsidRPr="00213DB4">
        <w:rPr>
          <w:rFonts w:ascii="Arial" w:hAnsi="Arial" w:cs="Arial"/>
          <w:color w:val="000000"/>
          <w:vertAlign w:val="subscript"/>
        </w:rPr>
        <w:t>2</w:t>
      </w:r>
      <w:r w:rsidR="00DE754E">
        <w:rPr>
          <w:rFonts w:ascii="Arial" w:hAnsi="Arial" w:cs="Arial"/>
          <w:color w:val="000000"/>
        </w:rPr>
        <w:t xml:space="preserve">-incubation rate estimates </w:t>
      </w:r>
      <w:r w:rsidR="0061470E" w:rsidRPr="00946B92">
        <w:rPr>
          <w:rFonts w:ascii="Arial" w:hAnsi="Arial" w:cs="Arial"/>
          <w:color w:val="000000"/>
        </w:rPr>
        <w:t>include</w:t>
      </w:r>
      <w:r w:rsidRPr="00946B92">
        <w:rPr>
          <w:rFonts w:ascii="Arial" w:hAnsi="Arial" w:cs="Arial"/>
          <w:color w:val="000000"/>
        </w:rPr>
        <w:t xml:space="preserve">: </w:t>
      </w:r>
      <w:r w:rsidR="002B3045" w:rsidRPr="00946B92">
        <w:rPr>
          <w:rFonts w:ascii="Arial" w:hAnsi="Arial" w:cs="Arial"/>
          <w:color w:val="000000"/>
        </w:rPr>
        <w:t xml:space="preserve">Underway </w:t>
      </w:r>
      <w:r w:rsidRPr="00946B92">
        <w:rPr>
          <w:rFonts w:ascii="Arial" w:hAnsi="Arial" w:cs="Arial"/>
          <w:color w:val="000000"/>
        </w:rPr>
        <w:t>H</w:t>
      </w:r>
      <w:r w:rsidRPr="00946B92">
        <w:rPr>
          <w:rFonts w:ascii="Arial" w:hAnsi="Arial" w:cs="Arial"/>
          <w:color w:val="000000"/>
          <w:vertAlign w:val="subscript"/>
        </w:rPr>
        <w:t>2</w:t>
      </w:r>
      <w:r w:rsidRPr="00946B92">
        <w:rPr>
          <w:rFonts w:ascii="Arial" w:hAnsi="Arial" w:cs="Arial"/>
          <w:color w:val="000000"/>
        </w:rPr>
        <w:t xml:space="preserve"> gas</w:t>
      </w:r>
      <w:r w:rsidR="002B3045" w:rsidRPr="00946B92">
        <w:rPr>
          <w:rFonts w:ascii="Arial" w:hAnsi="Arial" w:cs="Arial"/>
          <w:color w:val="000000"/>
        </w:rPr>
        <w:t xml:space="preserve"> </w:t>
      </w:r>
      <w:r w:rsidR="0061470E" w:rsidRPr="00946B92">
        <w:rPr>
          <w:rFonts w:ascii="Arial" w:hAnsi="Arial" w:cs="Arial"/>
          <w:color w:val="000000"/>
        </w:rPr>
        <w:t xml:space="preserve">measurements </w:t>
      </w:r>
      <w:r w:rsidR="002B3045" w:rsidRPr="00946B92">
        <w:rPr>
          <w:rFonts w:ascii="Arial" w:hAnsi="Arial" w:cs="Arial"/>
          <w:color w:val="000000"/>
        </w:rPr>
        <w:t>(Moore</w:t>
      </w:r>
      <w:r w:rsidR="0012079C">
        <w:rPr>
          <w:rFonts w:ascii="Arial" w:hAnsi="Arial" w:cs="Arial"/>
          <w:color w:val="000000"/>
        </w:rPr>
        <w:t xml:space="preserve"> et al. 2009</w:t>
      </w:r>
      <w:r w:rsidR="00526BEC">
        <w:rPr>
          <w:rFonts w:ascii="Arial" w:hAnsi="Arial" w:cs="Arial"/>
          <w:color w:val="000000"/>
        </w:rPr>
        <w:t xml:space="preserve">; </w:t>
      </w:r>
      <w:r w:rsidR="00826CA2">
        <w:rPr>
          <w:rFonts w:ascii="Arial" w:hAnsi="Arial" w:cs="Arial"/>
          <w:color w:val="000000"/>
        </w:rPr>
        <w:t>Wilson et al. 2013</w:t>
      </w:r>
      <w:r w:rsidR="00526BEC">
        <w:rPr>
          <w:rFonts w:ascii="Arial" w:hAnsi="Arial" w:cs="Arial"/>
          <w:color w:val="000000"/>
        </w:rPr>
        <w:t>)</w:t>
      </w:r>
      <w:r w:rsidRPr="00946B92">
        <w:rPr>
          <w:rFonts w:ascii="Arial" w:hAnsi="Arial" w:cs="Arial"/>
          <w:color w:val="000000"/>
        </w:rPr>
        <w:t xml:space="preserve">, underway acetylene </w:t>
      </w:r>
      <w:r w:rsidR="0061470E" w:rsidRPr="00946B92">
        <w:rPr>
          <w:rFonts w:ascii="Arial" w:hAnsi="Arial" w:cs="Arial"/>
          <w:color w:val="000000"/>
        </w:rPr>
        <w:t xml:space="preserve">gas reduction measurements </w:t>
      </w:r>
      <w:r w:rsidRPr="00946B92">
        <w:rPr>
          <w:rFonts w:ascii="Arial" w:hAnsi="Arial" w:cs="Arial"/>
          <w:color w:val="000000"/>
        </w:rPr>
        <w:t>(</w:t>
      </w:r>
      <w:proofErr w:type="spellStart"/>
      <w:r w:rsidRPr="00946B92">
        <w:rPr>
          <w:rFonts w:ascii="Arial" w:hAnsi="Arial" w:cs="Arial"/>
          <w:color w:val="000000"/>
        </w:rPr>
        <w:t>Cassar</w:t>
      </w:r>
      <w:proofErr w:type="spellEnd"/>
      <w:r w:rsidR="0012079C">
        <w:rPr>
          <w:rFonts w:ascii="Arial" w:hAnsi="Arial" w:cs="Arial"/>
          <w:color w:val="000000"/>
        </w:rPr>
        <w:t xml:space="preserve"> et al. 2018</w:t>
      </w:r>
      <w:r w:rsidRPr="00946B92">
        <w:rPr>
          <w:rFonts w:ascii="Arial" w:hAnsi="Arial" w:cs="Arial"/>
          <w:color w:val="000000"/>
        </w:rPr>
        <w:t xml:space="preserve">), natural abundance </w:t>
      </w:r>
      <w:r w:rsidRPr="00946B92">
        <w:rPr>
          <w:rFonts w:ascii="Arial" w:hAnsi="Arial" w:cs="Arial"/>
          <w:color w:val="000000"/>
          <w:vertAlign w:val="superscript"/>
        </w:rPr>
        <w:t>15</w:t>
      </w:r>
      <w:r w:rsidRPr="00946B92">
        <w:rPr>
          <w:rFonts w:ascii="Arial" w:hAnsi="Arial" w:cs="Arial"/>
          <w:color w:val="000000"/>
        </w:rPr>
        <w:t>N mass balance</w:t>
      </w:r>
      <w:r w:rsidR="0061470E" w:rsidRPr="00946B92">
        <w:rPr>
          <w:rFonts w:ascii="Arial" w:hAnsi="Arial" w:cs="Arial"/>
          <w:color w:val="000000"/>
        </w:rPr>
        <w:t xml:space="preserve">s from </w:t>
      </w:r>
      <w:r w:rsidR="0061470E" w:rsidRPr="00946B92">
        <w:rPr>
          <w:rFonts w:ascii="Symbol" w:hAnsi="Symbol" w:cs="Arial"/>
          <w:color w:val="000000"/>
        </w:rPr>
        <w:t></w:t>
      </w:r>
      <w:r w:rsidR="0061470E" w:rsidRPr="00946B92">
        <w:rPr>
          <w:rFonts w:ascii="Arial" w:hAnsi="Arial" w:cs="Arial"/>
          <w:color w:val="000000"/>
          <w:vertAlign w:val="superscript"/>
        </w:rPr>
        <w:t>15</w:t>
      </w:r>
      <w:r w:rsidR="0061470E" w:rsidRPr="00946B92">
        <w:rPr>
          <w:rFonts w:ascii="Arial" w:hAnsi="Arial" w:cs="Arial"/>
          <w:color w:val="000000"/>
        </w:rPr>
        <w:t>NO</w:t>
      </w:r>
      <w:r w:rsidR="0061470E" w:rsidRPr="00946B92">
        <w:rPr>
          <w:rFonts w:ascii="Arial" w:hAnsi="Arial" w:cs="Arial"/>
          <w:color w:val="000000"/>
          <w:vertAlign w:val="subscript"/>
        </w:rPr>
        <w:t>3</w:t>
      </w:r>
      <w:r w:rsidR="0061470E" w:rsidRPr="00946B92">
        <w:rPr>
          <w:rFonts w:ascii="Arial" w:hAnsi="Arial" w:cs="Arial"/>
          <w:color w:val="000000"/>
          <w:vertAlign w:val="superscript"/>
        </w:rPr>
        <w:t>-</w:t>
      </w:r>
      <w:r w:rsidR="0061470E" w:rsidRPr="00946B92">
        <w:rPr>
          <w:rFonts w:ascii="Arial" w:hAnsi="Arial" w:cs="Arial"/>
          <w:color w:val="000000"/>
        </w:rPr>
        <w:t xml:space="preserve"> and sediment trap </w:t>
      </w:r>
      <w:r w:rsidR="0061470E" w:rsidRPr="00946B92">
        <w:rPr>
          <w:rFonts w:ascii="Symbol" w:hAnsi="Symbol" w:cs="Arial"/>
          <w:color w:val="000000"/>
        </w:rPr>
        <w:t></w:t>
      </w:r>
      <w:r w:rsidR="0061470E" w:rsidRPr="00946B92">
        <w:rPr>
          <w:rFonts w:ascii="Arial" w:hAnsi="Arial" w:cs="Arial"/>
          <w:color w:val="000000"/>
          <w:vertAlign w:val="superscript"/>
        </w:rPr>
        <w:t>15</w:t>
      </w:r>
      <w:r w:rsidR="0061470E" w:rsidRPr="00946B92">
        <w:rPr>
          <w:rFonts w:ascii="Arial" w:hAnsi="Arial" w:cs="Arial"/>
          <w:color w:val="000000"/>
        </w:rPr>
        <w:t>N</w:t>
      </w:r>
      <w:r w:rsidR="002B3045" w:rsidRPr="00946B92">
        <w:rPr>
          <w:rFonts w:ascii="Arial" w:hAnsi="Arial" w:cs="Arial"/>
          <w:color w:val="000000"/>
        </w:rPr>
        <w:t xml:space="preserve"> (Knapp</w:t>
      </w:r>
      <w:r w:rsidR="005175F7">
        <w:rPr>
          <w:rFonts w:ascii="Arial" w:hAnsi="Arial" w:cs="Arial"/>
          <w:color w:val="000000"/>
        </w:rPr>
        <w:t xml:space="preserve"> et al. 2005</w:t>
      </w:r>
      <w:r w:rsidR="002B3045" w:rsidRPr="00946B92">
        <w:rPr>
          <w:rFonts w:ascii="Arial" w:hAnsi="Arial" w:cs="Arial"/>
          <w:color w:val="000000"/>
        </w:rPr>
        <w:t>)</w:t>
      </w:r>
      <w:r w:rsidR="0061470E" w:rsidRPr="00946B92">
        <w:rPr>
          <w:rFonts w:ascii="Arial" w:hAnsi="Arial" w:cs="Arial"/>
          <w:color w:val="000000"/>
        </w:rPr>
        <w:t>.</w:t>
      </w:r>
      <w:r w:rsidR="006C0211">
        <w:rPr>
          <w:rFonts w:ascii="Arial" w:hAnsi="Arial" w:cs="Arial"/>
          <w:color w:val="000000"/>
        </w:rPr>
        <w:t xml:space="preserve"> </w:t>
      </w:r>
      <w:r w:rsidR="00DE754E">
        <w:rPr>
          <w:rFonts w:ascii="Arial" w:hAnsi="Arial" w:cs="Arial"/>
          <w:color w:val="000000"/>
        </w:rPr>
        <w:t>These will not be discussed specifically in this forum.</w:t>
      </w:r>
    </w:p>
    <w:p w14:paraId="3A75ED61" w14:textId="77777777" w:rsidR="00DE754E" w:rsidRPr="00946B92" w:rsidRDefault="00DE754E" w:rsidP="00DE754E">
      <w:pPr>
        <w:ind w:left="720"/>
        <w:jc w:val="both"/>
        <w:rPr>
          <w:rFonts w:ascii="Arial" w:hAnsi="Arial" w:cs="Arial"/>
          <w:color w:val="000000"/>
        </w:rPr>
      </w:pPr>
    </w:p>
    <w:p w14:paraId="342E9705" w14:textId="37305493" w:rsidR="00BD6D3A" w:rsidRPr="00946B92" w:rsidRDefault="00BD6D3A" w:rsidP="00DE754E">
      <w:pPr>
        <w:rPr>
          <w:rFonts w:ascii="Arial" w:hAnsi="Arial" w:cs="Arial"/>
          <w:b/>
        </w:rPr>
      </w:pPr>
      <w:r w:rsidRPr="00946B92">
        <w:rPr>
          <w:rFonts w:ascii="Arial" w:hAnsi="Arial" w:cs="Arial"/>
          <w:b/>
        </w:rPr>
        <w:t>Molecular tools to interrogate N</w:t>
      </w:r>
      <w:r w:rsidRPr="00946B92">
        <w:rPr>
          <w:rFonts w:ascii="Arial" w:hAnsi="Arial" w:cs="Arial"/>
          <w:b/>
          <w:vertAlign w:val="subscript"/>
        </w:rPr>
        <w:t>2</w:t>
      </w:r>
      <w:r w:rsidRPr="00946B92">
        <w:rPr>
          <w:rFonts w:ascii="Arial" w:hAnsi="Arial" w:cs="Arial"/>
          <w:b/>
        </w:rPr>
        <w:t xml:space="preserve">-fixing communities: </w:t>
      </w:r>
      <w:r w:rsidR="00751F16">
        <w:rPr>
          <w:rFonts w:ascii="Arial" w:hAnsi="Arial" w:cs="Arial"/>
          <w:b/>
        </w:rPr>
        <w:t>M</w:t>
      </w:r>
      <w:r w:rsidR="00751F16" w:rsidRPr="00946B92">
        <w:rPr>
          <w:rFonts w:ascii="Arial" w:hAnsi="Arial" w:cs="Arial"/>
          <w:b/>
        </w:rPr>
        <w:t xml:space="preserve">ethods </w:t>
      </w:r>
      <w:r w:rsidRPr="00946B92">
        <w:rPr>
          <w:rFonts w:ascii="Arial" w:hAnsi="Arial" w:cs="Arial"/>
          <w:b/>
        </w:rPr>
        <w:t>and limitations</w:t>
      </w:r>
    </w:p>
    <w:p w14:paraId="3CD76A1A" w14:textId="55CA39F2" w:rsidR="00A145F0" w:rsidRPr="00946B92" w:rsidRDefault="00AF67BA" w:rsidP="005175F7">
      <w:pPr>
        <w:ind w:left="720"/>
        <w:jc w:val="both"/>
        <w:rPr>
          <w:rFonts w:ascii="Arial" w:hAnsi="Arial" w:cs="Arial"/>
        </w:rPr>
      </w:pPr>
      <w:r w:rsidRPr="00946B92">
        <w:rPr>
          <w:rFonts w:ascii="Arial" w:hAnsi="Arial" w:cs="Arial"/>
        </w:rPr>
        <w:t>In the most commonly used approaches, u</w:t>
      </w:r>
      <w:r w:rsidR="002828C6" w:rsidRPr="00946B92">
        <w:rPr>
          <w:rFonts w:ascii="Arial" w:hAnsi="Arial" w:cs="Arial"/>
        </w:rPr>
        <w:t>nraveling</w:t>
      </w:r>
      <w:r w:rsidR="00A145F0" w:rsidRPr="00946B92">
        <w:rPr>
          <w:rFonts w:ascii="Arial" w:hAnsi="Arial" w:cs="Arial"/>
        </w:rPr>
        <w:t xml:space="preserve"> the identity, </w:t>
      </w:r>
      <w:r w:rsidR="0061470E" w:rsidRPr="00946B92">
        <w:rPr>
          <w:rFonts w:ascii="Arial" w:hAnsi="Arial" w:cs="Arial"/>
        </w:rPr>
        <w:t xml:space="preserve">abundance </w:t>
      </w:r>
      <w:r w:rsidR="00A145F0" w:rsidRPr="00946B92">
        <w:rPr>
          <w:rFonts w:ascii="Arial" w:hAnsi="Arial" w:cs="Arial"/>
        </w:rPr>
        <w:t xml:space="preserve">and activity </w:t>
      </w:r>
      <w:r w:rsidR="0061470E" w:rsidRPr="00946B92">
        <w:rPr>
          <w:rFonts w:ascii="Arial" w:hAnsi="Arial" w:cs="Arial"/>
        </w:rPr>
        <w:t>of N</w:t>
      </w:r>
      <w:r w:rsidR="0061470E" w:rsidRPr="00946B92">
        <w:rPr>
          <w:rFonts w:ascii="Arial" w:hAnsi="Arial" w:cs="Arial"/>
          <w:vertAlign w:val="subscript"/>
        </w:rPr>
        <w:t>2</w:t>
      </w:r>
      <w:r w:rsidR="002828C6" w:rsidRPr="00946B92">
        <w:rPr>
          <w:rFonts w:ascii="Arial" w:hAnsi="Arial" w:cs="Arial"/>
        </w:rPr>
        <w:t>-</w:t>
      </w:r>
      <w:r w:rsidR="0061470E" w:rsidRPr="00946B92">
        <w:rPr>
          <w:rFonts w:ascii="Arial" w:hAnsi="Arial" w:cs="Arial"/>
        </w:rPr>
        <w:t xml:space="preserve">fixing microorganisms </w:t>
      </w:r>
      <w:r w:rsidR="00A145F0" w:rsidRPr="00946B92">
        <w:rPr>
          <w:rFonts w:ascii="Arial" w:hAnsi="Arial" w:cs="Arial"/>
        </w:rPr>
        <w:t>by DNA and RNA amplification involves the following techniques:</w:t>
      </w:r>
    </w:p>
    <w:p w14:paraId="185E2AA4" w14:textId="6017D08D" w:rsidR="00A145F0" w:rsidRPr="00946B92" w:rsidRDefault="00A145F0" w:rsidP="005175F7">
      <w:pPr>
        <w:pStyle w:val="ListParagraph"/>
        <w:numPr>
          <w:ilvl w:val="0"/>
          <w:numId w:val="8"/>
        </w:numPr>
        <w:jc w:val="both"/>
        <w:rPr>
          <w:rFonts w:ascii="Arial" w:hAnsi="Arial" w:cs="Arial"/>
        </w:rPr>
      </w:pPr>
      <w:r w:rsidRPr="00946B92">
        <w:rPr>
          <w:rFonts w:ascii="Arial" w:hAnsi="Arial" w:cs="Arial"/>
        </w:rPr>
        <w:t xml:space="preserve">Detection of the presence of </w:t>
      </w:r>
      <w:r w:rsidRPr="00946B92">
        <w:rPr>
          <w:rFonts w:ascii="Arial" w:hAnsi="Arial" w:cs="Arial"/>
          <w:i/>
        </w:rPr>
        <w:t>nifH</w:t>
      </w:r>
      <w:r w:rsidRPr="00946B92">
        <w:rPr>
          <w:rFonts w:ascii="Arial" w:hAnsi="Arial" w:cs="Arial"/>
        </w:rPr>
        <w:t xml:space="preserve"> genes based on degenerate and/or targeted </w:t>
      </w:r>
      <w:r w:rsidR="00AF67BA" w:rsidRPr="00946B92">
        <w:rPr>
          <w:rFonts w:ascii="Arial" w:hAnsi="Arial" w:cs="Arial"/>
        </w:rPr>
        <w:t xml:space="preserve">PCR </w:t>
      </w:r>
      <w:r w:rsidRPr="00946B92">
        <w:rPr>
          <w:rFonts w:ascii="Arial" w:hAnsi="Arial" w:cs="Arial"/>
        </w:rPr>
        <w:t>primers</w:t>
      </w:r>
      <w:r w:rsidR="00751F16">
        <w:rPr>
          <w:rFonts w:ascii="Arial" w:hAnsi="Arial" w:cs="Arial"/>
        </w:rPr>
        <w:t xml:space="preserve"> </w:t>
      </w:r>
    </w:p>
    <w:p w14:paraId="314AAE51" w14:textId="3A64458B" w:rsidR="00A145F0" w:rsidRPr="00946B92" w:rsidRDefault="00A145F0" w:rsidP="005175F7">
      <w:pPr>
        <w:pStyle w:val="ListParagraph"/>
        <w:numPr>
          <w:ilvl w:val="0"/>
          <w:numId w:val="8"/>
        </w:numPr>
        <w:jc w:val="both"/>
        <w:rPr>
          <w:rFonts w:ascii="Arial" w:hAnsi="Arial" w:cs="Arial"/>
        </w:rPr>
      </w:pPr>
      <w:r w:rsidRPr="00946B92">
        <w:rPr>
          <w:rFonts w:ascii="Arial" w:hAnsi="Arial" w:cs="Arial"/>
        </w:rPr>
        <w:t xml:space="preserve">Estimates of </w:t>
      </w:r>
      <w:r w:rsidRPr="00946B92">
        <w:rPr>
          <w:rFonts w:ascii="Arial" w:hAnsi="Arial" w:cs="Arial"/>
          <w:i/>
        </w:rPr>
        <w:t>nifH</w:t>
      </w:r>
      <w:r w:rsidRPr="00946B92">
        <w:rPr>
          <w:rFonts w:ascii="Arial" w:hAnsi="Arial" w:cs="Arial"/>
        </w:rPr>
        <w:t xml:space="preserve"> gene copy abundances </w:t>
      </w:r>
      <w:r w:rsidR="00AF67BA" w:rsidRPr="00946B92">
        <w:rPr>
          <w:rFonts w:ascii="Arial" w:hAnsi="Arial" w:cs="Arial"/>
        </w:rPr>
        <w:t xml:space="preserve">of individual diazotroph groups </w:t>
      </w:r>
      <w:r w:rsidRPr="00946B92">
        <w:rPr>
          <w:rFonts w:ascii="Arial" w:hAnsi="Arial" w:cs="Arial"/>
        </w:rPr>
        <w:t>by quantitative PCR</w:t>
      </w:r>
      <w:r w:rsidR="00751F16">
        <w:rPr>
          <w:rFonts w:ascii="Arial" w:hAnsi="Arial" w:cs="Arial"/>
        </w:rPr>
        <w:t xml:space="preserve"> </w:t>
      </w:r>
      <w:r w:rsidR="00751F16" w:rsidRPr="00946B92">
        <w:rPr>
          <w:rFonts w:ascii="Arial" w:hAnsi="Arial" w:cs="Arial"/>
        </w:rPr>
        <w:t xml:space="preserve"> </w:t>
      </w:r>
    </w:p>
    <w:p w14:paraId="2BFC3CFF" w14:textId="33CCBC1D" w:rsidR="00A145F0" w:rsidRPr="00946B92" w:rsidRDefault="00A145F0" w:rsidP="005175F7">
      <w:pPr>
        <w:pStyle w:val="ListParagraph"/>
        <w:numPr>
          <w:ilvl w:val="0"/>
          <w:numId w:val="8"/>
        </w:numPr>
        <w:jc w:val="both"/>
        <w:rPr>
          <w:rFonts w:ascii="Arial" w:hAnsi="Arial" w:cs="Arial"/>
        </w:rPr>
      </w:pPr>
      <w:r w:rsidRPr="00946B92">
        <w:rPr>
          <w:rFonts w:ascii="Arial" w:hAnsi="Arial" w:cs="Arial"/>
        </w:rPr>
        <w:t xml:space="preserve">Evaluation of activity from detection of </w:t>
      </w:r>
      <w:r w:rsidR="00AF67BA" w:rsidRPr="00946B92">
        <w:rPr>
          <w:rFonts w:ascii="Arial" w:hAnsi="Arial" w:cs="Arial"/>
        </w:rPr>
        <w:t xml:space="preserve">reverse </w:t>
      </w:r>
      <w:r w:rsidRPr="00946B92">
        <w:rPr>
          <w:rFonts w:ascii="Arial" w:hAnsi="Arial" w:cs="Arial"/>
        </w:rPr>
        <w:t xml:space="preserve">transcribed </w:t>
      </w:r>
      <w:r w:rsidR="00AF67BA" w:rsidRPr="00946B92">
        <w:rPr>
          <w:rFonts w:ascii="Arial" w:hAnsi="Arial" w:cs="Arial"/>
          <w:i/>
        </w:rPr>
        <w:t>nifH</w:t>
      </w:r>
      <w:r w:rsidR="00AF67BA" w:rsidRPr="00946B92">
        <w:rPr>
          <w:rFonts w:ascii="Arial" w:hAnsi="Arial" w:cs="Arial"/>
        </w:rPr>
        <w:t xml:space="preserve"> </w:t>
      </w:r>
      <w:r w:rsidRPr="00946B92">
        <w:rPr>
          <w:rFonts w:ascii="Arial" w:hAnsi="Arial" w:cs="Arial"/>
        </w:rPr>
        <w:t xml:space="preserve">mRNA by qPCR </w:t>
      </w:r>
      <w:r w:rsidR="00AF67BA" w:rsidRPr="00946B92">
        <w:rPr>
          <w:rFonts w:ascii="Arial" w:hAnsi="Arial" w:cs="Arial"/>
        </w:rPr>
        <w:t>using</w:t>
      </w:r>
      <w:r w:rsidRPr="00946B92">
        <w:rPr>
          <w:rFonts w:ascii="Arial" w:hAnsi="Arial" w:cs="Arial"/>
        </w:rPr>
        <w:t xml:space="preserve"> primers</w:t>
      </w:r>
      <w:r w:rsidR="00AF67BA" w:rsidRPr="00946B92">
        <w:rPr>
          <w:rFonts w:ascii="Arial" w:hAnsi="Arial" w:cs="Arial"/>
        </w:rPr>
        <w:t xml:space="preserve"> targeting individual diazotroph groups</w:t>
      </w:r>
      <w:r w:rsidR="00751F16">
        <w:rPr>
          <w:rFonts w:ascii="Arial" w:hAnsi="Arial" w:cs="Arial"/>
        </w:rPr>
        <w:t xml:space="preserve"> </w:t>
      </w:r>
    </w:p>
    <w:p w14:paraId="0E862A6C" w14:textId="10A62A73" w:rsidR="00A145F0" w:rsidRPr="00946B92" w:rsidRDefault="00A145F0" w:rsidP="005175F7">
      <w:pPr>
        <w:pStyle w:val="ListParagraph"/>
        <w:jc w:val="both"/>
        <w:rPr>
          <w:rFonts w:ascii="Arial" w:hAnsi="Arial" w:cs="Arial"/>
          <w:color w:val="5B9BD5" w:themeColor="accent1"/>
        </w:rPr>
      </w:pPr>
    </w:p>
    <w:p w14:paraId="01846A94" w14:textId="7CB8AF8F" w:rsidR="00AF67BA" w:rsidRPr="00946B92" w:rsidRDefault="00AF67BA" w:rsidP="005175F7">
      <w:pPr>
        <w:spacing w:after="60"/>
        <w:ind w:left="720"/>
        <w:contextualSpacing/>
        <w:jc w:val="both"/>
        <w:rPr>
          <w:rFonts w:ascii="Arial" w:hAnsi="Arial" w:cs="Arial"/>
          <w:color w:val="000000"/>
        </w:rPr>
      </w:pPr>
      <w:r w:rsidRPr="00946B92">
        <w:rPr>
          <w:rFonts w:ascii="Arial" w:hAnsi="Arial" w:cs="Arial"/>
          <w:color w:val="000000"/>
        </w:rPr>
        <w:t xml:space="preserve">The group discussed several </w:t>
      </w:r>
      <w:r w:rsidR="00751F16">
        <w:rPr>
          <w:rFonts w:ascii="Arial" w:hAnsi="Arial" w:cs="Arial"/>
          <w:color w:val="000000"/>
        </w:rPr>
        <w:t>sources of</w:t>
      </w:r>
      <w:r w:rsidRPr="00946B92">
        <w:rPr>
          <w:rFonts w:ascii="Arial" w:hAnsi="Arial" w:cs="Arial"/>
          <w:color w:val="000000"/>
        </w:rPr>
        <w:t xml:space="preserve"> </w:t>
      </w:r>
      <w:r w:rsidR="00751F16" w:rsidRPr="00946B92">
        <w:rPr>
          <w:rFonts w:ascii="Arial" w:hAnsi="Arial" w:cs="Arial"/>
          <w:color w:val="000000"/>
        </w:rPr>
        <w:t>uncertaint</w:t>
      </w:r>
      <w:r w:rsidR="00751F16">
        <w:rPr>
          <w:rFonts w:ascii="Arial" w:hAnsi="Arial" w:cs="Arial"/>
          <w:color w:val="000000"/>
        </w:rPr>
        <w:t>y</w:t>
      </w:r>
      <w:r w:rsidR="00751F16" w:rsidRPr="00946B92">
        <w:rPr>
          <w:rFonts w:ascii="Arial" w:hAnsi="Arial" w:cs="Arial"/>
          <w:color w:val="000000"/>
        </w:rPr>
        <w:t xml:space="preserve"> </w:t>
      </w:r>
      <w:r w:rsidRPr="00946B92">
        <w:rPr>
          <w:rFonts w:ascii="Arial" w:hAnsi="Arial" w:cs="Arial"/>
          <w:color w:val="000000"/>
        </w:rPr>
        <w:t xml:space="preserve">in the qPCR methods and our ability to compare data across studies, as well as predict organism abundances from the qPCR data. The </w:t>
      </w:r>
      <w:r w:rsidR="00751F16">
        <w:rPr>
          <w:rFonts w:ascii="Arial" w:hAnsi="Arial" w:cs="Arial"/>
          <w:color w:val="000000"/>
        </w:rPr>
        <w:t>issues</w:t>
      </w:r>
      <w:r w:rsidR="00751F16" w:rsidRPr="00946B92">
        <w:rPr>
          <w:rFonts w:ascii="Arial" w:hAnsi="Arial" w:cs="Arial"/>
          <w:color w:val="000000"/>
        </w:rPr>
        <w:t xml:space="preserve"> </w:t>
      </w:r>
      <w:r w:rsidRPr="00946B92">
        <w:rPr>
          <w:rFonts w:ascii="Arial" w:hAnsi="Arial" w:cs="Arial"/>
          <w:color w:val="000000"/>
        </w:rPr>
        <w:t>below were discussed during the town hall and during the conference week.</w:t>
      </w:r>
    </w:p>
    <w:p w14:paraId="44AD49F7" w14:textId="77777777" w:rsidR="00AF67BA" w:rsidRPr="00946B92" w:rsidRDefault="00AF67BA" w:rsidP="005175F7">
      <w:pPr>
        <w:spacing w:after="60"/>
        <w:ind w:left="720"/>
        <w:contextualSpacing/>
        <w:jc w:val="both"/>
        <w:rPr>
          <w:rFonts w:ascii="Arial" w:hAnsi="Arial" w:cs="Arial"/>
          <w:color w:val="000000"/>
        </w:rPr>
      </w:pPr>
    </w:p>
    <w:p w14:paraId="3CF058CA" w14:textId="220F9133" w:rsidR="00AF67BA" w:rsidRPr="00946B92" w:rsidRDefault="00AF67BA" w:rsidP="005175F7">
      <w:pPr>
        <w:spacing w:after="60"/>
        <w:ind w:left="1440" w:hanging="360"/>
        <w:contextualSpacing/>
        <w:jc w:val="both"/>
        <w:rPr>
          <w:rFonts w:ascii="Arial" w:hAnsi="Arial" w:cs="Arial"/>
          <w:color w:val="000000"/>
        </w:rPr>
      </w:pPr>
      <w:r w:rsidRPr="00946B92">
        <w:rPr>
          <w:rFonts w:ascii="Arial" w:hAnsi="Arial" w:cs="Arial"/>
          <w:color w:val="000000"/>
        </w:rPr>
        <w:lastRenderedPageBreak/>
        <w:t xml:space="preserve">1. </w:t>
      </w:r>
      <w:r w:rsidRPr="00946B92">
        <w:rPr>
          <w:rFonts w:ascii="Arial" w:hAnsi="Arial" w:cs="Arial"/>
          <w:i/>
          <w:color w:val="000000"/>
        </w:rPr>
        <w:t>DNA/RNA extraction efficiency and losses during extraction</w:t>
      </w:r>
      <w:r w:rsidR="0032107C" w:rsidRPr="00946B92">
        <w:rPr>
          <w:rFonts w:ascii="Arial" w:hAnsi="Arial" w:cs="Arial"/>
          <w:i/>
          <w:color w:val="000000"/>
        </w:rPr>
        <w:t>:</w:t>
      </w:r>
      <w:r w:rsidR="0032107C" w:rsidRPr="00946B92">
        <w:rPr>
          <w:rFonts w:ascii="Arial" w:hAnsi="Arial" w:cs="Arial"/>
          <w:color w:val="000000"/>
        </w:rPr>
        <w:t xml:space="preserve"> </w:t>
      </w:r>
      <w:r w:rsidRPr="00946B92">
        <w:rPr>
          <w:rFonts w:ascii="Arial" w:hAnsi="Arial" w:cs="Arial"/>
          <w:color w:val="000000"/>
        </w:rPr>
        <w:t xml:space="preserve">This </w:t>
      </w:r>
      <w:r w:rsidR="00110374">
        <w:rPr>
          <w:rFonts w:ascii="Arial" w:hAnsi="Arial" w:cs="Arial"/>
          <w:color w:val="000000"/>
        </w:rPr>
        <w:t>issue elicited</w:t>
      </w:r>
      <w:r w:rsidR="00110374" w:rsidRPr="00946B92">
        <w:rPr>
          <w:rFonts w:ascii="Arial" w:hAnsi="Arial" w:cs="Arial"/>
          <w:color w:val="000000"/>
        </w:rPr>
        <w:t xml:space="preserve"> </w:t>
      </w:r>
      <w:r w:rsidRPr="00946B92">
        <w:rPr>
          <w:rFonts w:ascii="Arial" w:hAnsi="Arial" w:cs="Arial"/>
          <w:color w:val="000000"/>
        </w:rPr>
        <w:t xml:space="preserve">the most discussion in the town hall group. </w:t>
      </w:r>
      <w:r w:rsidR="00110374">
        <w:rPr>
          <w:rFonts w:ascii="Arial" w:hAnsi="Arial" w:cs="Arial"/>
          <w:color w:val="000000"/>
        </w:rPr>
        <w:t>Participants</w:t>
      </w:r>
      <w:r w:rsidRPr="00946B92">
        <w:rPr>
          <w:rFonts w:ascii="Arial" w:hAnsi="Arial" w:cs="Arial"/>
          <w:color w:val="000000"/>
        </w:rPr>
        <w:t xml:space="preserve"> agreed that there are losses of DNA (and RNA) during extraction, and such losses are variable across methods used. There is also concern about DNA extraction efficiency changing across </w:t>
      </w:r>
      <w:r w:rsidR="00110374">
        <w:rPr>
          <w:rFonts w:ascii="Arial" w:hAnsi="Arial" w:cs="Arial"/>
          <w:color w:val="000000"/>
        </w:rPr>
        <w:t>variable</w:t>
      </w:r>
      <w:r w:rsidR="00110374" w:rsidRPr="00946B92">
        <w:rPr>
          <w:rFonts w:ascii="Arial" w:hAnsi="Arial" w:cs="Arial"/>
          <w:color w:val="000000"/>
        </w:rPr>
        <w:t xml:space="preserve"> </w:t>
      </w:r>
      <w:r w:rsidRPr="00946B92">
        <w:rPr>
          <w:rFonts w:ascii="Arial" w:hAnsi="Arial" w:cs="Arial"/>
          <w:color w:val="000000"/>
        </w:rPr>
        <w:t>sample matrixes</w:t>
      </w:r>
      <w:r w:rsidR="00110374">
        <w:rPr>
          <w:rFonts w:ascii="Arial" w:hAnsi="Arial" w:cs="Arial"/>
          <w:color w:val="000000"/>
        </w:rPr>
        <w:t xml:space="preserve"> (</w:t>
      </w:r>
      <w:r w:rsidRPr="00946B92">
        <w:rPr>
          <w:rFonts w:ascii="Arial" w:hAnsi="Arial" w:cs="Arial"/>
          <w:color w:val="000000"/>
        </w:rPr>
        <w:t>e.g.</w:t>
      </w:r>
      <w:r w:rsidR="00110374">
        <w:rPr>
          <w:rFonts w:ascii="Arial" w:hAnsi="Arial" w:cs="Arial"/>
          <w:color w:val="000000"/>
        </w:rPr>
        <w:t>,</w:t>
      </w:r>
      <w:r w:rsidRPr="00946B92">
        <w:rPr>
          <w:rFonts w:ascii="Arial" w:hAnsi="Arial" w:cs="Arial"/>
          <w:color w:val="000000"/>
        </w:rPr>
        <w:t xml:space="preserve"> from coastal to oceanic waters</w:t>
      </w:r>
      <w:r w:rsidR="00110374">
        <w:rPr>
          <w:rFonts w:ascii="Arial" w:hAnsi="Arial" w:cs="Arial"/>
          <w:color w:val="000000"/>
        </w:rPr>
        <w:t>)</w:t>
      </w:r>
      <w:r w:rsidRPr="00946B92">
        <w:rPr>
          <w:rFonts w:ascii="Arial" w:hAnsi="Arial" w:cs="Arial"/>
          <w:color w:val="000000"/>
        </w:rPr>
        <w:t xml:space="preserve">. </w:t>
      </w:r>
      <w:r w:rsidR="00110374">
        <w:rPr>
          <w:rFonts w:ascii="Arial" w:hAnsi="Arial" w:cs="Arial"/>
          <w:color w:val="000000"/>
        </w:rPr>
        <w:t>Participants suggested that</w:t>
      </w:r>
      <w:r w:rsidRPr="00946B92">
        <w:rPr>
          <w:rFonts w:ascii="Arial" w:hAnsi="Arial" w:cs="Arial"/>
          <w:color w:val="000000"/>
        </w:rPr>
        <w:t xml:space="preserve"> the best way forward would be to recommend the use of typical silica</w:t>
      </w:r>
      <w:r w:rsidR="00110374">
        <w:rPr>
          <w:rFonts w:ascii="Arial" w:hAnsi="Arial" w:cs="Arial"/>
          <w:color w:val="000000"/>
        </w:rPr>
        <w:t xml:space="preserve"> </w:t>
      </w:r>
      <w:r w:rsidR="00110374" w:rsidRPr="00946B92">
        <w:rPr>
          <w:rFonts w:ascii="Arial" w:hAnsi="Arial" w:cs="Arial"/>
          <w:color w:val="000000"/>
        </w:rPr>
        <w:t>column</w:t>
      </w:r>
      <w:r w:rsidR="00110374">
        <w:rPr>
          <w:rFonts w:ascii="Arial" w:hAnsi="Arial" w:cs="Arial"/>
          <w:color w:val="000000"/>
        </w:rPr>
        <w:t>-</w:t>
      </w:r>
      <w:r w:rsidRPr="00946B92">
        <w:rPr>
          <w:rFonts w:ascii="Arial" w:hAnsi="Arial" w:cs="Arial"/>
          <w:color w:val="000000"/>
        </w:rPr>
        <w:t xml:space="preserve">based nucleic acid extraction protocols that are known to be efficient in removing DNA inhibitors. The caveat is that this approach also results in </w:t>
      </w:r>
      <w:r w:rsidR="00110374">
        <w:rPr>
          <w:rFonts w:ascii="Arial" w:hAnsi="Arial" w:cs="Arial"/>
          <w:color w:val="000000"/>
        </w:rPr>
        <w:t xml:space="preserve">the </w:t>
      </w:r>
      <w:r w:rsidRPr="00946B92">
        <w:rPr>
          <w:rFonts w:ascii="Arial" w:hAnsi="Arial" w:cs="Arial"/>
          <w:color w:val="000000"/>
        </w:rPr>
        <w:t xml:space="preserve">greatest </w:t>
      </w:r>
      <w:r w:rsidR="00110374">
        <w:rPr>
          <w:rFonts w:ascii="Arial" w:hAnsi="Arial" w:cs="Arial"/>
          <w:color w:val="000000"/>
        </w:rPr>
        <w:t xml:space="preserve">DNA </w:t>
      </w:r>
      <w:r w:rsidRPr="00946B92">
        <w:rPr>
          <w:rFonts w:ascii="Arial" w:hAnsi="Arial" w:cs="Arial"/>
          <w:color w:val="000000"/>
        </w:rPr>
        <w:t>losses. In oceanographic studies, when sampling low biomass surface waters, less stringent methods could be sufficient in many waters and would result in higher DNA yields (lower DNA losses), yet in the case of patchy blooms and when processing materials from</w:t>
      </w:r>
      <w:r w:rsidR="00110374">
        <w:rPr>
          <w:rFonts w:ascii="Arial" w:hAnsi="Arial" w:cs="Arial"/>
          <w:color w:val="000000"/>
        </w:rPr>
        <w:t xml:space="preserve"> the</w:t>
      </w:r>
      <w:r w:rsidRPr="00946B92">
        <w:rPr>
          <w:rFonts w:ascii="Arial" w:hAnsi="Arial" w:cs="Arial"/>
          <w:color w:val="000000"/>
        </w:rPr>
        <w:t xml:space="preserve"> </w:t>
      </w:r>
      <w:r w:rsidR="00110374">
        <w:rPr>
          <w:rFonts w:ascii="Arial" w:hAnsi="Arial" w:cs="Arial"/>
          <w:color w:val="000000"/>
        </w:rPr>
        <w:t>D</w:t>
      </w:r>
      <w:r w:rsidR="00110374" w:rsidRPr="00946B92">
        <w:rPr>
          <w:rFonts w:ascii="Arial" w:hAnsi="Arial" w:cs="Arial"/>
          <w:color w:val="000000"/>
        </w:rPr>
        <w:t xml:space="preserve">eep </w:t>
      </w:r>
      <w:r w:rsidR="00110374">
        <w:rPr>
          <w:rFonts w:ascii="Arial" w:hAnsi="Arial" w:cs="Arial"/>
          <w:color w:val="000000"/>
        </w:rPr>
        <w:t>C</w:t>
      </w:r>
      <w:r w:rsidR="00110374" w:rsidRPr="00946B92">
        <w:rPr>
          <w:rFonts w:ascii="Arial" w:hAnsi="Arial" w:cs="Arial"/>
          <w:color w:val="000000"/>
        </w:rPr>
        <w:t xml:space="preserve">hlorophyll </w:t>
      </w:r>
      <w:r w:rsidR="00110374">
        <w:rPr>
          <w:rFonts w:ascii="Arial" w:hAnsi="Arial" w:cs="Arial"/>
          <w:color w:val="000000"/>
        </w:rPr>
        <w:t>M</w:t>
      </w:r>
      <w:r w:rsidR="00110374" w:rsidRPr="00946B92">
        <w:rPr>
          <w:rFonts w:ascii="Arial" w:hAnsi="Arial" w:cs="Arial"/>
          <w:color w:val="000000"/>
        </w:rPr>
        <w:t>aximum</w:t>
      </w:r>
      <w:r w:rsidRPr="00946B92">
        <w:rPr>
          <w:rFonts w:ascii="Arial" w:hAnsi="Arial" w:cs="Arial"/>
          <w:color w:val="000000"/>
        </w:rPr>
        <w:t>, potential PCR inhibition is likely an issue. Overall</w:t>
      </w:r>
      <w:r w:rsidR="00EB1D65">
        <w:rPr>
          <w:rFonts w:ascii="Arial" w:hAnsi="Arial" w:cs="Arial"/>
          <w:color w:val="000000"/>
        </w:rPr>
        <w:t>,</w:t>
      </w:r>
      <w:r w:rsidRPr="00946B92">
        <w:rPr>
          <w:rFonts w:ascii="Arial" w:hAnsi="Arial" w:cs="Arial"/>
          <w:color w:val="000000"/>
        </w:rPr>
        <w:t xml:space="preserve"> </w:t>
      </w:r>
      <w:r w:rsidR="00EB1D65" w:rsidRPr="00946B92">
        <w:rPr>
          <w:rFonts w:ascii="Arial" w:hAnsi="Arial" w:cs="Arial"/>
          <w:color w:val="000000"/>
        </w:rPr>
        <w:t>silica column</w:t>
      </w:r>
      <w:r w:rsidR="00EB1D65">
        <w:rPr>
          <w:rFonts w:ascii="Arial" w:hAnsi="Arial" w:cs="Arial"/>
          <w:color w:val="000000"/>
        </w:rPr>
        <w:t>-</w:t>
      </w:r>
      <w:r w:rsidR="00EB1D65" w:rsidRPr="00946B92">
        <w:rPr>
          <w:rFonts w:ascii="Arial" w:hAnsi="Arial" w:cs="Arial"/>
          <w:color w:val="000000"/>
        </w:rPr>
        <w:t xml:space="preserve">based purification is currently the best option </w:t>
      </w:r>
      <w:r w:rsidR="00EB1D65">
        <w:rPr>
          <w:rFonts w:ascii="Arial" w:hAnsi="Arial" w:cs="Arial"/>
          <w:color w:val="000000"/>
        </w:rPr>
        <w:t>to ensure</w:t>
      </w:r>
      <w:r w:rsidRPr="00946B92">
        <w:rPr>
          <w:rFonts w:ascii="Arial" w:hAnsi="Arial" w:cs="Arial"/>
          <w:color w:val="000000"/>
        </w:rPr>
        <w:t xml:space="preserve"> </w:t>
      </w:r>
      <w:r w:rsidR="00EB1D65">
        <w:rPr>
          <w:rFonts w:ascii="Arial" w:hAnsi="Arial" w:cs="Arial"/>
          <w:color w:val="000000"/>
        </w:rPr>
        <w:t xml:space="preserve">sample </w:t>
      </w:r>
      <w:r w:rsidRPr="00946B92">
        <w:rPr>
          <w:rFonts w:ascii="Arial" w:hAnsi="Arial" w:cs="Arial"/>
          <w:color w:val="000000"/>
        </w:rPr>
        <w:t xml:space="preserve">comparability within and across studies. </w:t>
      </w:r>
    </w:p>
    <w:p w14:paraId="4CD30ACF" w14:textId="77777777" w:rsidR="00AF67BA" w:rsidRPr="00946B92" w:rsidRDefault="00AF67BA" w:rsidP="005175F7">
      <w:pPr>
        <w:spacing w:after="60"/>
        <w:ind w:left="1440" w:hanging="360"/>
        <w:contextualSpacing/>
        <w:jc w:val="both"/>
        <w:rPr>
          <w:rFonts w:ascii="Arial" w:hAnsi="Arial" w:cs="Arial"/>
          <w:color w:val="000000"/>
        </w:rPr>
      </w:pPr>
    </w:p>
    <w:p w14:paraId="73228761" w14:textId="6C9E998E" w:rsidR="0032107C" w:rsidRPr="00946B92" w:rsidRDefault="00AF67BA" w:rsidP="005175F7">
      <w:pPr>
        <w:spacing w:after="60"/>
        <w:ind w:left="1440" w:hanging="360"/>
        <w:contextualSpacing/>
        <w:jc w:val="both"/>
        <w:rPr>
          <w:rFonts w:ascii="Arial" w:hAnsi="Arial" w:cs="Arial"/>
          <w:color w:val="000000"/>
        </w:rPr>
      </w:pPr>
      <w:r w:rsidRPr="00946B92">
        <w:rPr>
          <w:rFonts w:ascii="Arial" w:hAnsi="Arial" w:cs="Arial"/>
          <w:color w:val="000000"/>
        </w:rPr>
        <w:t xml:space="preserve">2. </w:t>
      </w:r>
      <w:r w:rsidRPr="00946B92">
        <w:rPr>
          <w:rFonts w:ascii="Arial" w:hAnsi="Arial" w:cs="Arial"/>
          <w:i/>
          <w:color w:val="000000"/>
        </w:rPr>
        <w:t>Generation and running standards and reporting detection limits</w:t>
      </w:r>
      <w:r w:rsidR="0032107C" w:rsidRPr="00946B92">
        <w:rPr>
          <w:rFonts w:ascii="Arial" w:hAnsi="Arial" w:cs="Arial"/>
          <w:i/>
          <w:color w:val="000000"/>
        </w:rPr>
        <w:t>:</w:t>
      </w:r>
      <w:r w:rsidR="0032107C" w:rsidRPr="00946B92">
        <w:rPr>
          <w:rFonts w:ascii="Arial" w:hAnsi="Arial" w:cs="Arial"/>
          <w:color w:val="000000"/>
        </w:rPr>
        <w:t xml:space="preserve"> </w:t>
      </w:r>
      <w:r w:rsidRPr="00946B92">
        <w:rPr>
          <w:rFonts w:ascii="Arial" w:hAnsi="Arial" w:cs="Arial"/>
          <w:color w:val="000000"/>
        </w:rPr>
        <w:t>There is a high level of uncertainty when it comes to equivalency of gene copies to cell numbers. Notably, some work has been done with</w:t>
      </w:r>
      <w:r w:rsidRPr="00946B92">
        <w:rPr>
          <w:rFonts w:ascii="Arial" w:hAnsi="Arial" w:cs="Arial"/>
          <w:i/>
          <w:color w:val="000000"/>
        </w:rPr>
        <w:t xml:space="preserve"> nifH</w:t>
      </w:r>
      <w:r w:rsidRPr="00946B92">
        <w:rPr>
          <w:rFonts w:ascii="Arial" w:hAnsi="Arial" w:cs="Arial"/>
          <w:color w:val="000000"/>
        </w:rPr>
        <w:t xml:space="preserve"> as well as other genes (e.g.</w:t>
      </w:r>
      <w:r w:rsidR="00026A01">
        <w:rPr>
          <w:rFonts w:ascii="Arial" w:hAnsi="Arial" w:cs="Arial"/>
          <w:color w:val="000000"/>
        </w:rPr>
        <w:t>,</w:t>
      </w:r>
      <w:r w:rsidRPr="00946B92">
        <w:rPr>
          <w:rFonts w:ascii="Arial" w:hAnsi="Arial" w:cs="Arial"/>
          <w:color w:val="000000"/>
        </w:rPr>
        <w:t xml:space="preserve"> </w:t>
      </w:r>
      <w:r w:rsidRPr="00946B92">
        <w:rPr>
          <w:rFonts w:ascii="Arial" w:hAnsi="Arial" w:cs="Arial"/>
          <w:i/>
          <w:color w:val="000000"/>
        </w:rPr>
        <w:t>Prochlorococcus</w:t>
      </w:r>
      <w:r w:rsidRPr="00946B92">
        <w:rPr>
          <w:rFonts w:ascii="Arial" w:hAnsi="Arial" w:cs="Arial"/>
          <w:color w:val="000000"/>
        </w:rPr>
        <w:t xml:space="preserve"> research) studying the cell vs. gene copy equivalency question, and these published and unpublished data could help assess the question as to whether it might be possible to correct measured gene copies to represent actual gene copies. For many </w:t>
      </w:r>
      <w:r w:rsidRPr="00946B92">
        <w:rPr>
          <w:rFonts w:ascii="Arial" w:hAnsi="Arial" w:cs="Arial"/>
          <w:i/>
          <w:color w:val="000000"/>
        </w:rPr>
        <w:t>nifH</w:t>
      </w:r>
      <w:r w:rsidRPr="00946B92">
        <w:rPr>
          <w:rFonts w:ascii="Arial" w:hAnsi="Arial" w:cs="Arial"/>
          <w:color w:val="000000"/>
        </w:rPr>
        <w:t xml:space="preserve"> targets, these studies are not possible because there are no cultivated representatives, and such relationships</w:t>
      </w:r>
      <w:r w:rsidR="00026A01">
        <w:rPr>
          <w:rFonts w:ascii="Arial" w:hAnsi="Arial" w:cs="Arial"/>
          <w:color w:val="000000"/>
        </w:rPr>
        <w:t xml:space="preserve"> </w:t>
      </w:r>
      <w:r w:rsidR="00026A01" w:rsidRPr="00946B92">
        <w:rPr>
          <w:rFonts w:ascii="Arial" w:hAnsi="Arial" w:cs="Arial"/>
          <w:color w:val="000000"/>
        </w:rPr>
        <w:t>(e.g.</w:t>
      </w:r>
      <w:r w:rsidR="00026A01">
        <w:rPr>
          <w:rFonts w:ascii="Arial" w:hAnsi="Arial" w:cs="Arial"/>
          <w:color w:val="000000"/>
        </w:rPr>
        <w:t>,</w:t>
      </w:r>
      <w:r w:rsidR="00026A01" w:rsidRPr="00946B92">
        <w:rPr>
          <w:rFonts w:ascii="Arial" w:hAnsi="Arial" w:cs="Arial"/>
          <w:color w:val="000000"/>
        </w:rPr>
        <w:t xml:space="preserve"> cell to gene copy) </w:t>
      </w:r>
      <w:r w:rsidRPr="00946B92">
        <w:rPr>
          <w:rFonts w:ascii="Arial" w:hAnsi="Arial" w:cs="Arial"/>
          <w:color w:val="000000"/>
        </w:rPr>
        <w:t xml:space="preserve">may be </w:t>
      </w:r>
      <w:r w:rsidR="00026A01" w:rsidRPr="00946B92">
        <w:rPr>
          <w:rFonts w:ascii="Arial" w:hAnsi="Arial" w:cs="Arial"/>
          <w:color w:val="000000"/>
        </w:rPr>
        <w:t>organism</w:t>
      </w:r>
      <w:r w:rsidR="00026A01">
        <w:rPr>
          <w:rFonts w:ascii="Arial" w:hAnsi="Arial" w:cs="Arial"/>
          <w:color w:val="000000"/>
        </w:rPr>
        <w:t>-</w:t>
      </w:r>
      <w:r w:rsidRPr="00946B92">
        <w:rPr>
          <w:rFonts w:ascii="Arial" w:hAnsi="Arial" w:cs="Arial"/>
          <w:color w:val="000000"/>
        </w:rPr>
        <w:t>specific. We are aware of some researchers who have collected these type</w:t>
      </w:r>
      <w:r w:rsidR="00026A01">
        <w:rPr>
          <w:rFonts w:ascii="Arial" w:hAnsi="Arial" w:cs="Arial"/>
          <w:color w:val="000000"/>
        </w:rPr>
        <w:t>s of</w:t>
      </w:r>
      <w:r w:rsidRPr="00946B92">
        <w:rPr>
          <w:rFonts w:ascii="Arial" w:hAnsi="Arial" w:cs="Arial"/>
          <w:color w:val="000000"/>
        </w:rPr>
        <w:t xml:space="preserve"> data and intend to contact them personally (some have already agreed to share data), and we'll continue to look for any other studies that have tested this question with oceanographic samples. Additional testing may be warranted with unicellular diazotrophs that can be cultivated and flow sorted.</w:t>
      </w:r>
    </w:p>
    <w:p w14:paraId="238F8F04" w14:textId="77777777" w:rsidR="0032107C" w:rsidRPr="00946B92" w:rsidRDefault="0032107C" w:rsidP="005175F7">
      <w:pPr>
        <w:spacing w:after="60"/>
        <w:ind w:left="1440" w:hanging="360"/>
        <w:contextualSpacing/>
        <w:jc w:val="both"/>
        <w:rPr>
          <w:rFonts w:ascii="Arial" w:hAnsi="Arial" w:cs="Arial"/>
          <w:color w:val="000000"/>
        </w:rPr>
      </w:pPr>
    </w:p>
    <w:p w14:paraId="16EE6E97" w14:textId="70DE20EE" w:rsidR="00AF67BA" w:rsidRPr="00946B92" w:rsidRDefault="00AF67BA" w:rsidP="005175F7">
      <w:pPr>
        <w:spacing w:after="120"/>
        <w:ind w:left="1440"/>
        <w:jc w:val="both"/>
        <w:rPr>
          <w:rFonts w:ascii="Arial" w:hAnsi="Arial" w:cs="Arial"/>
          <w:color w:val="000000"/>
        </w:rPr>
      </w:pPr>
      <w:r w:rsidRPr="00946B92">
        <w:rPr>
          <w:rFonts w:ascii="Arial" w:hAnsi="Arial" w:cs="Arial"/>
          <w:color w:val="000000"/>
        </w:rPr>
        <w:t xml:space="preserve">There are different methods among researchers as to how the gene copy abundances are standardized in qPCR. Standards can be synthetic fragments of DNA, cloned inserts in plasmids, or synthetic plasmids with specific insert sequence. Plasmid standards may or may not be linearized. Although most agree that different standard </w:t>
      </w:r>
      <w:r w:rsidR="00026A01" w:rsidRPr="00946B92">
        <w:rPr>
          <w:rFonts w:ascii="Arial" w:hAnsi="Arial" w:cs="Arial"/>
          <w:color w:val="000000"/>
        </w:rPr>
        <w:t>type</w:t>
      </w:r>
      <w:r w:rsidR="00026A01">
        <w:rPr>
          <w:rFonts w:ascii="Arial" w:hAnsi="Arial" w:cs="Arial"/>
          <w:color w:val="000000"/>
        </w:rPr>
        <w:t>s</w:t>
      </w:r>
      <w:r w:rsidR="00026A01" w:rsidRPr="00946B92">
        <w:rPr>
          <w:rFonts w:ascii="Arial" w:hAnsi="Arial" w:cs="Arial"/>
          <w:color w:val="000000"/>
        </w:rPr>
        <w:t xml:space="preserve"> </w:t>
      </w:r>
      <w:r w:rsidRPr="00946B92">
        <w:rPr>
          <w:rFonts w:ascii="Arial" w:hAnsi="Arial" w:cs="Arial"/>
          <w:color w:val="000000"/>
        </w:rPr>
        <w:t xml:space="preserve">may </w:t>
      </w:r>
      <w:r w:rsidR="00A30087">
        <w:rPr>
          <w:rFonts w:ascii="Arial" w:hAnsi="Arial" w:cs="Arial"/>
          <w:color w:val="000000"/>
        </w:rPr>
        <w:t>yield</w:t>
      </w:r>
      <w:r w:rsidRPr="00946B92">
        <w:rPr>
          <w:rFonts w:ascii="Arial" w:hAnsi="Arial" w:cs="Arial"/>
          <w:color w:val="000000"/>
        </w:rPr>
        <w:t xml:space="preserve"> variability in </w:t>
      </w:r>
      <w:r w:rsidR="00A30087">
        <w:rPr>
          <w:rFonts w:ascii="Arial" w:hAnsi="Arial" w:cs="Arial"/>
          <w:color w:val="000000"/>
        </w:rPr>
        <w:t xml:space="preserve">the </w:t>
      </w:r>
      <w:r w:rsidRPr="00946B92">
        <w:rPr>
          <w:rFonts w:ascii="Arial" w:hAnsi="Arial" w:cs="Arial"/>
          <w:color w:val="000000"/>
        </w:rPr>
        <w:t>standards produced, some argue that it does not matter what</w:t>
      </w:r>
      <w:r w:rsidR="00213DB4">
        <w:rPr>
          <w:rFonts w:ascii="Arial" w:hAnsi="Arial" w:cs="Arial"/>
          <w:color w:val="000000"/>
        </w:rPr>
        <w:t xml:space="preserve"> </w:t>
      </w:r>
      <w:r w:rsidRPr="00946B92">
        <w:rPr>
          <w:rFonts w:ascii="Arial" w:hAnsi="Arial" w:cs="Arial"/>
          <w:color w:val="000000"/>
        </w:rPr>
        <w:t>standard</w:t>
      </w:r>
      <w:r w:rsidR="00213DB4">
        <w:rPr>
          <w:rFonts w:ascii="Arial" w:hAnsi="Arial" w:cs="Arial"/>
          <w:color w:val="000000"/>
        </w:rPr>
        <w:t xml:space="preserve"> type</w:t>
      </w:r>
      <w:r w:rsidRPr="00946B92">
        <w:rPr>
          <w:rFonts w:ascii="Arial" w:hAnsi="Arial" w:cs="Arial"/>
          <w:color w:val="000000"/>
        </w:rPr>
        <w:t xml:space="preserve"> is used, since numbers will be relative anyway. Individual studies could thus have flexibility to use different qPCR standardization methods, still allowing good within-study relative comparisons across samples. However, if the community were to accept a more universal approach to standards, the cross-study comparisons should improve. It should also be pertinent to recommend reporting the level of quantification and detection for qPCR assays with any published data. Providing best practices for </w:t>
      </w:r>
      <w:r w:rsidRPr="00946B92">
        <w:rPr>
          <w:rFonts w:ascii="Arial" w:hAnsi="Arial" w:cs="Arial"/>
          <w:color w:val="000000"/>
        </w:rPr>
        <w:lastRenderedPageBreak/>
        <w:t xml:space="preserve">reporting detection limits and levels of quantification would be optimal. Most </w:t>
      </w:r>
      <w:r w:rsidR="0032107C" w:rsidRPr="00946B92">
        <w:rPr>
          <w:rFonts w:ascii="Arial" w:hAnsi="Arial" w:cs="Arial"/>
          <w:color w:val="000000"/>
        </w:rPr>
        <w:t xml:space="preserve">researchers </w:t>
      </w:r>
      <w:r w:rsidRPr="00946B92">
        <w:rPr>
          <w:rFonts w:ascii="Arial" w:hAnsi="Arial" w:cs="Arial"/>
          <w:color w:val="000000"/>
        </w:rPr>
        <w:t xml:space="preserve">do not seem to report these, yet understanding what values represent background vs. actual gene copies would be critical when drawing conclusions from these ecological studies to </w:t>
      </w:r>
      <w:r w:rsidR="000308D1" w:rsidRPr="00946B92">
        <w:rPr>
          <w:rFonts w:ascii="Arial" w:hAnsi="Arial" w:cs="Arial"/>
          <w:color w:val="000000"/>
        </w:rPr>
        <w:t>ecosystem</w:t>
      </w:r>
      <w:r w:rsidR="000308D1">
        <w:rPr>
          <w:rFonts w:ascii="Arial" w:hAnsi="Arial" w:cs="Arial"/>
          <w:color w:val="000000"/>
        </w:rPr>
        <w:t>-</w:t>
      </w:r>
      <w:r w:rsidRPr="00946B92">
        <w:rPr>
          <w:rFonts w:ascii="Arial" w:hAnsi="Arial" w:cs="Arial"/>
          <w:color w:val="000000"/>
        </w:rPr>
        <w:t>level functions and budgets.</w:t>
      </w:r>
    </w:p>
    <w:p w14:paraId="3E8D20DF" w14:textId="117B66A0" w:rsidR="00AF67BA" w:rsidRPr="00946B92" w:rsidRDefault="00AF67BA" w:rsidP="005175F7">
      <w:pPr>
        <w:spacing w:after="120"/>
        <w:ind w:left="1440" w:hanging="360"/>
        <w:jc w:val="both"/>
        <w:rPr>
          <w:rFonts w:ascii="Arial" w:hAnsi="Arial" w:cs="Arial"/>
          <w:color w:val="000000"/>
        </w:rPr>
      </w:pPr>
      <w:r w:rsidRPr="00946B92">
        <w:rPr>
          <w:rFonts w:ascii="Arial" w:hAnsi="Arial" w:cs="Arial"/>
          <w:color w:val="000000"/>
        </w:rPr>
        <w:t xml:space="preserve">3. </w:t>
      </w:r>
      <w:r w:rsidRPr="00946B92">
        <w:rPr>
          <w:rFonts w:ascii="Arial" w:hAnsi="Arial" w:cs="Arial"/>
          <w:i/>
          <w:color w:val="000000"/>
        </w:rPr>
        <w:t>Standard data interpretation practices</w:t>
      </w:r>
      <w:r w:rsidR="0032107C" w:rsidRPr="00946B92">
        <w:rPr>
          <w:rFonts w:ascii="Arial" w:hAnsi="Arial" w:cs="Arial"/>
          <w:i/>
          <w:color w:val="000000"/>
        </w:rPr>
        <w:t>:</w:t>
      </w:r>
      <w:r w:rsidR="0032107C" w:rsidRPr="00946B92">
        <w:rPr>
          <w:rFonts w:ascii="Arial" w:hAnsi="Arial" w:cs="Arial"/>
          <w:color w:val="000000"/>
        </w:rPr>
        <w:t xml:space="preserve"> </w:t>
      </w:r>
      <w:r w:rsidR="000308D1">
        <w:rPr>
          <w:rFonts w:ascii="Arial" w:hAnsi="Arial" w:cs="Arial"/>
          <w:color w:val="000000"/>
        </w:rPr>
        <w:t>Participants</w:t>
      </w:r>
      <w:r w:rsidRPr="00946B92">
        <w:rPr>
          <w:rFonts w:ascii="Arial" w:hAnsi="Arial" w:cs="Arial"/>
          <w:color w:val="000000"/>
        </w:rPr>
        <w:t xml:space="preserve"> who are familiar with qPCR approaches</w:t>
      </w:r>
      <w:r w:rsidR="000308D1">
        <w:rPr>
          <w:rFonts w:ascii="Arial" w:hAnsi="Arial" w:cs="Arial"/>
          <w:color w:val="000000"/>
        </w:rPr>
        <w:t xml:space="preserve"> agreed</w:t>
      </w:r>
      <w:r w:rsidR="000308D1" w:rsidRPr="00946B92">
        <w:rPr>
          <w:rFonts w:ascii="Arial" w:hAnsi="Arial" w:cs="Arial"/>
          <w:color w:val="000000"/>
        </w:rPr>
        <w:t xml:space="preserve"> </w:t>
      </w:r>
      <w:r w:rsidRPr="00946B92">
        <w:rPr>
          <w:rFonts w:ascii="Arial" w:hAnsi="Arial" w:cs="Arial"/>
          <w:color w:val="000000"/>
        </w:rPr>
        <w:t xml:space="preserve">that these approaches provide relative abundances at best, and there are a number of other caveats that are often ignored. The recommended practices should provide guidance </w:t>
      </w:r>
      <w:r w:rsidR="000308D1">
        <w:rPr>
          <w:rFonts w:ascii="Arial" w:hAnsi="Arial" w:cs="Arial"/>
          <w:color w:val="000000"/>
        </w:rPr>
        <w:t>on</w:t>
      </w:r>
      <w:r w:rsidR="000308D1" w:rsidRPr="00946B92">
        <w:rPr>
          <w:rFonts w:ascii="Arial" w:hAnsi="Arial" w:cs="Arial"/>
          <w:color w:val="000000"/>
        </w:rPr>
        <w:t xml:space="preserve"> </w:t>
      </w:r>
      <w:r w:rsidRPr="00946B92">
        <w:rPr>
          <w:rFonts w:ascii="Arial" w:hAnsi="Arial" w:cs="Arial"/>
          <w:color w:val="000000"/>
        </w:rPr>
        <w:t xml:space="preserve">data interpretation. </w:t>
      </w:r>
    </w:p>
    <w:p w14:paraId="34BD7AF7" w14:textId="6E6E5AB8" w:rsidR="00AF67BA" w:rsidRPr="00946B92" w:rsidRDefault="00AF67BA" w:rsidP="005175F7">
      <w:pPr>
        <w:spacing w:afterLines="60" w:after="144"/>
        <w:ind w:left="1440" w:hanging="360"/>
        <w:jc w:val="both"/>
        <w:rPr>
          <w:rFonts w:ascii="Arial" w:hAnsi="Arial" w:cs="Arial"/>
          <w:color w:val="000000"/>
        </w:rPr>
      </w:pPr>
      <w:r w:rsidRPr="00946B92">
        <w:rPr>
          <w:rFonts w:ascii="Arial" w:hAnsi="Arial" w:cs="Arial"/>
          <w:color w:val="000000"/>
        </w:rPr>
        <w:t xml:space="preserve">4. </w:t>
      </w:r>
      <w:r w:rsidRPr="00946B92">
        <w:rPr>
          <w:rFonts w:ascii="Arial" w:hAnsi="Arial" w:cs="Arial"/>
          <w:i/>
          <w:color w:val="000000"/>
        </w:rPr>
        <w:t>Accessibility of primer and probe i</w:t>
      </w:r>
      <w:r w:rsidR="0032107C" w:rsidRPr="00946B92">
        <w:rPr>
          <w:rFonts w:ascii="Arial" w:hAnsi="Arial" w:cs="Arial"/>
          <w:i/>
          <w:color w:val="000000"/>
        </w:rPr>
        <w:t xml:space="preserve">nformation and target sequences: </w:t>
      </w:r>
      <w:r w:rsidR="000308D1">
        <w:rPr>
          <w:rFonts w:ascii="Arial" w:hAnsi="Arial" w:cs="Arial"/>
          <w:color w:val="000000"/>
        </w:rPr>
        <w:t>Participants</w:t>
      </w:r>
      <w:r w:rsidRPr="00946B92">
        <w:rPr>
          <w:rFonts w:ascii="Arial" w:hAnsi="Arial" w:cs="Arial"/>
          <w:color w:val="000000"/>
        </w:rPr>
        <w:t xml:space="preserve"> agreed that development of a database for efficient distribution of primer-probe information would be welcome in the field.  Such </w:t>
      </w:r>
      <w:r w:rsidR="000308D1">
        <w:rPr>
          <w:rFonts w:ascii="Arial" w:hAnsi="Arial" w:cs="Arial"/>
          <w:color w:val="000000"/>
        </w:rPr>
        <w:t xml:space="preserve">a </w:t>
      </w:r>
      <w:r w:rsidRPr="00946B92">
        <w:rPr>
          <w:rFonts w:ascii="Arial" w:hAnsi="Arial" w:cs="Arial"/>
          <w:color w:val="000000"/>
        </w:rPr>
        <w:t xml:space="preserve">database/library of primers and probes would be envisioned to function </w:t>
      </w:r>
      <w:r w:rsidR="000308D1">
        <w:rPr>
          <w:rFonts w:ascii="Arial" w:hAnsi="Arial" w:cs="Arial"/>
          <w:color w:val="000000"/>
        </w:rPr>
        <w:t>similarly</w:t>
      </w:r>
      <w:r w:rsidR="000308D1" w:rsidRPr="00946B92">
        <w:rPr>
          <w:rFonts w:ascii="Arial" w:hAnsi="Arial" w:cs="Arial"/>
          <w:color w:val="000000"/>
        </w:rPr>
        <w:t xml:space="preserve"> </w:t>
      </w:r>
      <w:r w:rsidRPr="00946B92">
        <w:rPr>
          <w:rFonts w:ascii="Arial" w:hAnsi="Arial" w:cs="Arial"/>
          <w:color w:val="000000"/>
        </w:rPr>
        <w:t xml:space="preserve">to what is currently available for 16S </w:t>
      </w:r>
      <w:r w:rsidR="000308D1" w:rsidRPr="00946B92">
        <w:rPr>
          <w:rFonts w:ascii="Arial" w:hAnsi="Arial" w:cs="Arial"/>
          <w:color w:val="000000"/>
        </w:rPr>
        <w:t>rRNA</w:t>
      </w:r>
      <w:r w:rsidR="000308D1">
        <w:rPr>
          <w:rFonts w:ascii="Arial" w:hAnsi="Arial" w:cs="Arial"/>
          <w:color w:val="000000"/>
        </w:rPr>
        <w:t>-</w:t>
      </w:r>
      <w:r w:rsidRPr="00946B92">
        <w:rPr>
          <w:rFonts w:ascii="Arial" w:hAnsi="Arial" w:cs="Arial"/>
          <w:color w:val="000000"/>
        </w:rPr>
        <w:t xml:space="preserve">based Fluorescent In Situ Hybridization probes (probebase.net). This online resource would list all known </w:t>
      </w:r>
      <w:r w:rsidRPr="00946B92">
        <w:rPr>
          <w:rFonts w:ascii="Arial" w:hAnsi="Arial" w:cs="Arial"/>
          <w:i/>
          <w:color w:val="000000"/>
        </w:rPr>
        <w:t>nifH</w:t>
      </w:r>
      <w:r w:rsidRPr="00946B92">
        <w:rPr>
          <w:rFonts w:ascii="Arial" w:hAnsi="Arial" w:cs="Arial"/>
          <w:color w:val="000000"/>
        </w:rPr>
        <w:t xml:space="preserve"> primers and probes that have been tested, along with a link to the sequence and the original accession number. </w:t>
      </w:r>
      <w:r w:rsidR="000412B9">
        <w:rPr>
          <w:rFonts w:ascii="Arial" w:hAnsi="Arial" w:cs="Arial"/>
          <w:color w:val="000000"/>
        </w:rPr>
        <w:t>Additional</w:t>
      </w:r>
      <w:r w:rsidRPr="00946B92">
        <w:rPr>
          <w:rFonts w:ascii="Arial" w:hAnsi="Arial" w:cs="Arial"/>
          <w:color w:val="000000"/>
        </w:rPr>
        <w:t xml:space="preserve"> information archived should include reported amplification efficiencies, a link to the original reference, and potential availability of the plasmid standard in an external plasmid repository. Any future studies using a particular primer probe set could be linked to the library.</w:t>
      </w:r>
    </w:p>
    <w:p w14:paraId="378F9D0A" w14:textId="304262AB" w:rsidR="00AF67BA" w:rsidRPr="00946B92" w:rsidRDefault="0032107C" w:rsidP="005175F7">
      <w:pPr>
        <w:pStyle w:val="ListParagraph"/>
        <w:spacing w:afterLines="60" w:after="144"/>
        <w:ind w:left="1440" w:hanging="360"/>
        <w:jc w:val="both"/>
        <w:rPr>
          <w:rFonts w:ascii="Arial" w:hAnsi="Arial" w:cs="Arial"/>
          <w:color w:val="000000"/>
        </w:rPr>
      </w:pPr>
      <w:r w:rsidRPr="00946B92">
        <w:rPr>
          <w:rFonts w:ascii="Arial" w:hAnsi="Arial" w:cs="Arial"/>
          <w:i/>
          <w:color w:val="000000"/>
        </w:rPr>
        <w:t xml:space="preserve">5. </w:t>
      </w:r>
      <w:r w:rsidR="00AF67BA" w:rsidRPr="00946B92">
        <w:rPr>
          <w:rFonts w:ascii="Arial" w:hAnsi="Arial" w:cs="Arial"/>
          <w:i/>
          <w:color w:val="000000"/>
        </w:rPr>
        <w:t>Other considerations</w:t>
      </w:r>
      <w:r w:rsidRPr="00946B92">
        <w:rPr>
          <w:rFonts w:ascii="Arial" w:hAnsi="Arial" w:cs="Arial"/>
          <w:i/>
          <w:color w:val="000000"/>
        </w:rPr>
        <w:t xml:space="preserve">: </w:t>
      </w:r>
      <w:r w:rsidR="00AF67BA" w:rsidRPr="00946B92">
        <w:rPr>
          <w:rFonts w:ascii="Arial" w:hAnsi="Arial" w:cs="Arial"/>
          <w:color w:val="000000"/>
        </w:rPr>
        <w:t>It was also pointed out that reagent lot numbers should be reported for key steps in the protocols. The workers should also consider the potential influence of diel cycles in DNA and RNA data</w:t>
      </w:r>
      <w:r w:rsidR="00296DC8">
        <w:rPr>
          <w:rFonts w:ascii="Arial" w:hAnsi="Arial" w:cs="Arial"/>
          <w:color w:val="000000"/>
        </w:rPr>
        <w:t>, as well as</w:t>
      </w:r>
      <w:r w:rsidR="00296DC8" w:rsidRPr="00946B92">
        <w:rPr>
          <w:rFonts w:ascii="Arial" w:hAnsi="Arial" w:cs="Arial"/>
          <w:color w:val="000000"/>
        </w:rPr>
        <w:t xml:space="preserve"> </w:t>
      </w:r>
      <w:r w:rsidR="00296DC8">
        <w:rPr>
          <w:rFonts w:ascii="Arial" w:hAnsi="Arial" w:cs="Arial"/>
          <w:color w:val="000000"/>
        </w:rPr>
        <w:t>l</w:t>
      </w:r>
      <w:r w:rsidR="00296DC8" w:rsidRPr="00946B92">
        <w:rPr>
          <w:rFonts w:ascii="Arial" w:hAnsi="Arial" w:cs="Arial"/>
          <w:color w:val="000000"/>
        </w:rPr>
        <w:t>ab</w:t>
      </w:r>
      <w:r w:rsidR="00AF67BA" w:rsidRPr="00946B92">
        <w:rPr>
          <w:rFonts w:ascii="Arial" w:hAnsi="Arial" w:cs="Arial"/>
          <w:color w:val="000000"/>
        </w:rPr>
        <w:t xml:space="preserve">-to-lab and person-to-person variability in handling DNA and RNA and conducting the assays. An inter-lab comparison exercise in overall qPCR protocols </w:t>
      </w:r>
      <w:r w:rsidR="00296DC8">
        <w:rPr>
          <w:rFonts w:ascii="Arial" w:hAnsi="Arial" w:cs="Arial"/>
          <w:color w:val="000000"/>
        </w:rPr>
        <w:t>might</w:t>
      </w:r>
      <w:r w:rsidR="00296DC8" w:rsidRPr="00946B92">
        <w:rPr>
          <w:rFonts w:ascii="Arial" w:hAnsi="Arial" w:cs="Arial"/>
          <w:color w:val="000000"/>
        </w:rPr>
        <w:t xml:space="preserve"> </w:t>
      </w:r>
      <w:r w:rsidR="00AF67BA" w:rsidRPr="00946B92">
        <w:rPr>
          <w:rFonts w:ascii="Arial" w:hAnsi="Arial" w:cs="Arial"/>
          <w:color w:val="000000"/>
        </w:rPr>
        <w:t xml:space="preserve">elucidate </w:t>
      </w:r>
      <w:r w:rsidR="00296042">
        <w:rPr>
          <w:rFonts w:ascii="Arial" w:hAnsi="Arial" w:cs="Arial"/>
          <w:color w:val="000000"/>
        </w:rPr>
        <w:t>the extent to which</w:t>
      </w:r>
      <w:r w:rsidR="00AF67BA" w:rsidRPr="00946B92">
        <w:rPr>
          <w:rFonts w:ascii="Arial" w:hAnsi="Arial" w:cs="Arial"/>
          <w:color w:val="000000"/>
        </w:rPr>
        <w:t xml:space="preserve"> such differences translate to reported gene copy numbers across studies. </w:t>
      </w:r>
    </w:p>
    <w:p w14:paraId="75D6BCC5" w14:textId="4BC0E20B" w:rsidR="00AD6EA9" w:rsidRPr="00946B92" w:rsidRDefault="00AF67BA" w:rsidP="005175F7">
      <w:pPr>
        <w:spacing w:afterLines="60" w:after="144"/>
        <w:ind w:left="1440" w:hanging="360"/>
        <w:jc w:val="both"/>
        <w:rPr>
          <w:rFonts w:ascii="Arial" w:hAnsi="Arial" w:cs="Arial"/>
          <w:color w:val="000000"/>
        </w:rPr>
      </w:pPr>
      <w:r w:rsidRPr="00946B92">
        <w:rPr>
          <w:rFonts w:ascii="Arial" w:hAnsi="Arial" w:cs="Arial"/>
          <w:color w:val="000000"/>
        </w:rPr>
        <w:tab/>
        <w:t xml:space="preserve">Other methods under development include digital PCR, and potential new applications of amplicon sequencing. The latter could potentially be used as a semi-quantitative method with spiked internal standards. Neither of these two approaches is common as of yet in quantification of diazotroph targets, although amplicon sequencing is becoming a common tool in characterizing the overall </w:t>
      </w:r>
      <w:r w:rsidRPr="00946B92">
        <w:rPr>
          <w:rFonts w:ascii="Arial" w:hAnsi="Arial" w:cs="Arial"/>
          <w:i/>
          <w:color w:val="000000"/>
        </w:rPr>
        <w:t>nifH</w:t>
      </w:r>
      <w:r w:rsidRPr="00946B92">
        <w:rPr>
          <w:rFonts w:ascii="Arial" w:hAnsi="Arial" w:cs="Arial"/>
          <w:color w:val="000000"/>
        </w:rPr>
        <w:t xml:space="preserve"> community composition.  </w:t>
      </w:r>
    </w:p>
    <w:p w14:paraId="06639EDB" w14:textId="77777777" w:rsidR="00E01234" w:rsidRDefault="00E01234" w:rsidP="005175F7">
      <w:pPr>
        <w:jc w:val="both"/>
        <w:rPr>
          <w:rFonts w:ascii="Arial" w:hAnsi="Arial" w:cs="Arial"/>
          <w:b/>
          <w:i/>
          <w:color w:val="000000"/>
        </w:rPr>
      </w:pPr>
    </w:p>
    <w:p w14:paraId="24FC1CE0" w14:textId="77D94D3A" w:rsidR="005175F7" w:rsidRPr="006C0211" w:rsidRDefault="00E01234" w:rsidP="006C0211">
      <w:pPr>
        <w:jc w:val="both"/>
        <w:rPr>
          <w:rFonts w:ascii="Times New Roman" w:eastAsia="Times New Roman" w:hAnsi="Times New Roman" w:cs="Times New Roman"/>
          <w:b/>
          <w:bCs/>
          <w:kern w:val="36"/>
        </w:rPr>
      </w:pPr>
      <w:r>
        <w:rPr>
          <w:rFonts w:ascii="Arial" w:hAnsi="Arial" w:cs="Arial"/>
          <w:b/>
        </w:rPr>
        <w:t>References</w:t>
      </w:r>
    </w:p>
    <w:p w14:paraId="746EF4A9" w14:textId="76A9D3B1" w:rsidR="00990E2D" w:rsidRPr="006C0211" w:rsidRDefault="00990E2D" w:rsidP="00990E2D">
      <w:pPr>
        <w:pStyle w:val="NormalWeb"/>
        <w:ind w:left="480" w:hanging="480"/>
        <w:rPr>
          <w:rFonts w:ascii="Arial" w:hAnsi="Arial" w:cs="Arial"/>
        </w:rPr>
      </w:pPr>
      <w:proofErr w:type="spellStart"/>
      <w:r w:rsidRPr="006C0211">
        <w:rPr>
          <w:rFonts w:ascii="Arial" w:hAnsi="Arial" w:cs="Arial"/>
        </w:rPr>
        <w:t>Bombar</w:t>
      </w:r>
      <w:proofErr w:type="spellEnd"/>
      <w:r w:rsidRPr="006C0211">
        <w:rPr>
          <w:rFonts w:ascii="Arial" w:hAnsi="Arial" w:cs="Arial"/>
        </w:rPr>
        <w:t xml:space="preserve">, D., </w:t>
      </w:r>
      <w:proofErr w:type="spellStart"/>
      <w:r w:rsidRPr="006C0211">
        <w:rPr>
          <w:rFonts w:ascii="Arial" w:hAnsi="Arial" w:cs="Arial"/>
        </w:rPr>
        <w:t>Paerl</w:t>
      </w:r>
      <w:proofErr w:type="spellEnd"/>
      <w:r w:rsidRPr="006C0211">
        <w:rPr>
          <w:rFonts w:ascii="Arial" w:hAnsi="Arial" w:cs="Arial"/>
        </w:rPr>
        <w:t xml:space="preserve">, R. W., Anderson, R., &amp; Riemann, L. (2018). Filtration via Conventional Glass Fiber Filters in 15N2 Tracer Assays Fails to Capture All Nitrogen-Fixing </w:t>
      </w:r>
      <w:proofErr w:type="gramStart"/>
      <w:r w:rsidRPr="006C0211">
        <w:rPr>
          <w:rFonts w:ascii="Arial" w:hAnsi="Arial" w:cs="Arial"/>
        </w:rPr>
        <w:t>Prokaryotes  .</w:t>
      </w:r>
      <w:proofErr w:type="gramEnd"/>
      <w:r w:rsidRPr="006C0211">
        <w:rPr>
          <w:rFonts w:ascii="Arial" w:hAnsi="Arial" w:cs="Arial"/>
        </w:rPr>
        <w:t xml:space="preserve"> </w:t>
      </w:r>
      <w:r w:rsidRPr="006C0211">
        <w:rPr>
          <w:rFonts w:ascii="Arial" w:hAnsi="Arial" w:cs="Arial"/>
          <w:i/>
          <w:iCs/>
        </w:rPr>
        <w:t xml:space="preserve">Frontiers in Marine </w:t>
      </w:r>
      <w:proofErr w:type="gramStart"/>
      <w:r w:rsidRPr="006C0211">
        <w:rPr>
          <w:rFonts w:ascii="Arial" w:hAnsi="Arial" w:cs="Arial"/>
          <w:i/>
          <w:iCs/>
        </w:rPr>
        <w:t xml:space="preserve">Science  </w:t>
      </w:r>
      <w:r w:rsidRPr="006C0211">
        <w:rPr>
          <w:rFonts w:ascii="Arial" w:hAnsi="Arial" w:cs="Arial"/>
        </w:rPr>
        <w:t>.</w:t>
      </w:r>
      <w:proofErr w:type="gramEnd"/>
      <w:r w:rsidRPr="006C0211">
        <w:rPr>
          <w:rFonts w:ascii="Arial" w:hAnsi="Arial" w:cs="Arial"/>
        </w:rPr>
        <w:t xml:space="preserve"> Retrieved from </w:t>
      </w:r>
      <w:hyperlink r:id="rId11" w:history="1">
        <w:r w:rsidRPr="006C0211">
          <w:rPr>
            <w:rStyle w:val="Hyperlink"/>
            <w:rFonts w:ascii="Arial" w:hAnsi="Arial" w:cs="Arial"/>
          </w:rPr>
          <w:t>https://www.frontiersin.org/article/10.3389/fmars.2018.00006</w:t>
        </w:r>
      </w:hyperlink>
    </w:p>
    <w:p w14:paraId="0E55ED50" w14:textId="60297EF1" w:rsidR="001E0530" w:rsidRPr="006C0211" w:rsidRDefault="001E0530" w:rsidP="001E0530">
      <w:pPr>
        <w:pStyle w:val="NormalWeb"/>
        <w:ind w:left="480" w:hanging="480"/>
        <w:rPr>
          <w:rFonts w:ascii="Arial" w:hAnsi="Arial" w:cs="Arial"/>
        </w:rPr>
      </w:pPr>
      <w:proofErr w:type="spellStart"/>
      <w:r w:rsidRPr="006C0211">
        <w:rPr>
          <w:rFonts w:ascii="Arial" w:hAnsi="Arial" w:cs="Arial"/>
        </w:rPr>
        <w:lastRenderedPageBreak/>
        <w:t>Cassar</w:t>
      </w:r>
      <w:proofErr w:type="spellEnd"/>
      <w:r w:rsidRPr="006C0211">
        <w:rPr>
          <w:rFonts w:ascii="Arial" w:hAnsi="Arial" w:cs="Arial"/>
        </w:rPr>
        <w:t xml:space="preserve">, N., Tang, W., </w:t>
      </w:r>
      <w:proofErr w:type="spellStart"/>
      <w:r w:rsidRPr="006C0211">
        <w:rPr>
          <w:rFonts w:ascii="Arial" w:hAnsi="Arial" w:cs="Arial"/>
        </w:rPr>
        <w:t>Gabathuler</w:t>
      </w:r>
      <w:proofErr w:type="spellEnd"/>
      <w:r w:rsidRPr="006C0211">
        <w:rPr>
          <w:rFonts w:ascii="Arial" w:hAnsi="Arial" w:cs="Arial"/>
        </w:rPr>
        <w:t xml:space="preserve">, H., &amp; Huang, K. (2018). Method for High Frequency Underway N2 Fixation Measurements: Flow-Through Incubation Acetylene Reduction Assays by Cavity Ring Down Laser Absorption Spectroscopy (FARACAS). </w:t>
      </w:r>
      <w:r w:rsidRPr="006C0211">
        <w:rPr>
          <w:rFonts w:ascii="Arial" w:hAnsi="Arial" w:cs="Arial"/>
          <w:i/>
          <w:iCs/>
        </w:rPr>
        <w:t>Analytical Chemistry</w:t>
      </w:r>
      <w:r w:rsidRPr="006C0211">
        <w:rPr>
          <w:rFonts w:ascii="Arial" w:hAnsi="Arial" w:cs="Arial"/>
        </w:rPr>
        <w:t xml:space="preserve">, </w:t>
      </w:r>
      <w:r w:rsidRPr="006C0211">
        <w:rPr>
          <w:rFonts w:ascii="Arial" w:hAnsi="Arial" w:cs="Arial"/>
          <w:i/>
          <w:iCs/>
        </w:rPr>
        <w:t>90</w:t>
      </w:r>
      <w:r w:rsidRPr="006C0211">
        <w:rPr>
          <w:rFonts w:ascii="Arial" w:hAnsi="Arial" w:cs="Arial"/>
        </w:rPr>
        <w:t xml:space="preserve">(4), 2839–2851. </w:t>
      </w:r>
      <w:hyperlink r:id="rId12" w:history="1">
        <w:r w:rsidR="00990E2D" w:rsidRPr="006C0211">
          <w:rPr>
            <w:rStyle w:val="Hyperlink"/>
            <w:rFonts w:ascii="Arial" w:hAnsi="Arial" w:cs="Arial"/>
          </w:rPr>
          <w:t>https://doi.org/10.1021/acs.analchem.7b04977</w:t>
        </w:r>
      </w:hyperlink>
    </w:p>
    <w:p w14:paraId="05AFA7DB" w14:textId="0246F175" w:rsidR="00990E2D" w:rsidRPr="006C0211" w:rsidRDefault="00990E2D" w:rsidP="00990E2D">
      <w:pPr>
        <w:pStyle w:val="NormalWeb"/>
        <w:ind w:left="480" w:hanging="480"/>
        <w:rPr>
          <w:rFonts w:ascii="Arial" w:hAnsi="Arial" w:cs="Arial"/>
        </w:rPr>
      </w:pPr>
      <w:proofErr w:type="spellStart"/>
      <w:r w:rsidRPr="006C0211">
        <w:rPr>
          <w:rFonts w:ascii="Arial" w:hAnsi="Arial" w:cs="Arial"/>
        </w:rPr>
        <w:t>Dabundo</w:t>
      </w:r>
      <w:proofErr w:type="spellEnd"/>
      <w:r w:rsidRPr="006C0211">
        <w:rPr>
          <w:rFonts w:ascii="Arial" w:hAnsi="Arial" w:cs="Arial"/>
        </w:rPr>
        <w:t xml:space="preserve">, R., Lehmann, M. F., </w:t>
      </w:r>
      <w:proofErr w:type="spellStart"/>
      <w:r w:rsidRPr="006C0211">
        <w:rPr>
          <w:rFonts w:ascii="Arial" w:hAnsi="Arial" w:cs="Arial"/>
        </w:rPr>
        <w:t>Treibergs</w:t>
      </w:r>
      <w:proofErr w:type="spellEnd"/>
      <w:r w:rsidRPr="006C0211">
        <w:rPr>
          <w:rFonts w:ascii="Arial" w:hAnsi="Arial" w:cs="Arial"/>
        </w:rPr>
        <w:t xml:space="preserve">, L., Tobias, C. R., </w:t>
      </w:r>
      <w:proofErr w:type="spellStart"/>
      <w:r w:rsidRPr="006C0211">
        <w:rPr>
          <w:rFonts w:ascii="Arial" w:hAnsi="Arial" w:cs="Arial"/>
        </w:rPr>
        <w:t>Altabet</w:t>
      </w:r>
      <w:proofErr w:type="spellEnd"/>
      <w:r w:rsidRPr="006C0211">
        <w:rPr>
          <w:rFonts w:ascii="Arial" w:hAnsi="Arial" w:cs="Arial"/>
        </w:rPr>
        <w:t xml:space="preserve">, M. A., </w:t>
      </w:r>
      <w:proofErr w:type="spellStart"/>
      <w:r w:rsidRPr="006C0211">
        <w:rPr>
          <w:rFonts w:ascii="Arial" w:hAnsi="Arial" w:cs="Arial"/>
        </w:rPr>
        <w:t>Moisander</w:t>
      </w:r>
      <w:proofErr w:type="spellEnd"/>
      <w:r w:rsidRPr="006C0211">
        <w:rPr>
          <w:rFonts w:ascii="Arial" w:hAnsi="Arial" w:cs="Arial"/>
        </w:rPr>
        <w:t>, P. H., &amp; Granger, J. (2014). The contamination of commercial</w:t>
      </w:r>
      <w:r w:rsidRPr="006C0211">
        <w:rPr>
          <w:rFonts w:ascii="Arial" w:hAnsi="Arial" w:cs="Arial"/>
          <w:vertAlign w:val="superscript"/>
        </w:rPr>
        <w:t>15</w:t>
      </w:r>
      <w:r w:rsidRPr="006C0211">
        <w:rPr>
          <w:rFonts w:ascii="Arial" w:hAnsi="Arial" w:cs="Arial"/>
        </w:rPr>
        <w:t>N&lt;</w:t>
      </w:r>
      <w:proofErr w:type="spellStart"/>
      <w:r w:rsidRPr="006C0211">
        <w:rPr>
          <w:rFonts w:ascii="Arial" w:hAnsi="Arial" w:cs="Arial"/>
        </w:rPr>
        <w:t>inf</w:t>
      </w:r>
      <w:proofErr w:type="spellEnd"/>
      <w:r w:rsidRPr="006C0211">
        <w:rPr>
          <w:rFonts w:ascii="Arial" w:hAnsi="Arial" w:cs="Arial"/>
        </w:rPr>
        <w:t>&gt;2&lt;/</w:t>
      </w:r>
      <w:proofErr w:type="spellStart"/>
      <w:r w:rsidRPr="006C0211">
        <w:rPr>
          <w:rFonts w:ascii="Arial" w:hAnsi="Arial" w:cs="Arial"/>
        </w:rPr>
        <w:t>inf</w:t>
      </w:r>
      <w:proofErr w:type="spellEnd"/>
      <w:r w:rsidRPr="006C0211">
        <w:rPr>
          <w:rFonts w:ascii="Arial" w:hAnsi="Arial" w:cs="Arial"/>
        </w:rPr>
        <w:t>&gt; gas stocks with</w:t>
      </w:r>
      <w:r w:rsidRPr="006C0211">
        <w:rPr>
          <w:rFonts w:ascii="Arial" w:hAnsi="Arial" w:cs="Arial"/>
          <w:vertAlign w:val="superscript"/>
        </w:rPr>
        <w:t>15</w:t>
      </w:r>
      <w:r w:rsidRPr="006C0211">
        <w:rPr>
          <w:rFonts w:ascii="Arial" w:hAnsi="Arial" w:cs="Arial"/>
        </w:rPr>
        <w:t xml:space="preserve">N-labeled nitrate and ammonium and consequences for nitrogen fixation measurements. </w:t>
      </w:r>
      <w:proofErr w:type="spellStart"/>
      <w:r w:rsidRPr="006C0211">
        <w:rPr>
          <w:rFonts w:ascii="Arial" w:hAnsi="Arial" w:cs="Arial"/>
          <w:i/>
          <w:iCs/>
        </w:rPr>
        <w:t>PLoS</w:t>
      </w:r>
      <w:proofErr w:type="spellEnd"/>
      <w:r w:rsidRPr="006C0211">
        <w:rPr>
          <w:rFonts w:ascii="Arial" w:hAnsi="Arial" w:cs="Arial"/>
          <w:i/>
          <w:iCs/>
        </w:rPr>
        <w:t xml:space="preserve"> ONE</w:t>
      </w:r>
      <w:r w:rsidRPr="006C0211">
        <w:rPr>
          <w:rFonts w:ascii="Arial" w:hAnsi="Arial" w:cs="Arial"/>
        </w:rPr>
        <w:t xml:space="preserve">, </w:t>
      </w:r>
      <w:r w:rsidRPr="006C0211">
        <w:rPr>
          <w:rFonts w:ascii="Arial" w:hAnsi="Arial" w:cs="Arial"/>
          <w:i/>
          <w:iCs/>
        </w:rPr>
        <w:t>9</w:t>
      </w:r>
      <w:r w:rsidRPr="006C0211">
        <w:rPr>
          <w:rFonts w:ascii="Arial" w:hAnsi="Arial" w:cs="Arial"/>
        </w:rPr>
        <w:t>(10). https://doi.org/10.1371/journal.pone.0110335</w:t>
      </w:r>
    </w:p>
    <w:p w14:paraId="739BFA5E" w14:textId="0D3430C4" w:rsidR="00990E2D" w:rsidRPr="006C0211" w:rsidRDefault="00990E2D" w:rsidP="00990E2D">
      <w:pPr>
        <w:pStyle w:val="NormalWeb"/>
        <w:ind w:left="480" w:hanging="480"/>
        <w:rPr>
          <w:rFonts w:ascii="Arial" w:hAnsi="Arial" w:cs="Arial"/>
        </w:rPr>
      </w:pPr>
      <w:proofErr w:type="spellStart"/>
      <w:r w:rsidRPr="006C0211">
        <w:rPr>
          <w:rFonts w:ascii="Arial" w:hAnsi="Arial" w:cs="Arial"/>
        </w:rPr>
        <w:t>Klawonn</w:t>
      </w:r>
      <w:proofErr w:type="spellEnd"/>
      <w:r w:rsidRPr="006C0211">
        <w:rPr>
          <w:rFonts w:ascii="Arial" w:hAnsi="Arial" w:cs="Arial"/>
        </w:rPr>
        <w:t xml:space="preserve">, I., </w:t>
      </w:r>
      <w:proofErr w:type="spellStart"/>
      <w:r w:rsidRPr="006C0211">
        <w:rPr>
          <w:rFonts w:ascii="Arial" w:hAnsi="Arial" w:cs="Arial"/>
        </w:rPr>
        <w:t>Lavik</w:t>
      </w:r>
      <w:proofErr w:type="spellEnd"/>
      <w:r w:rsidRPr="006C0211">
        <w:rPr>
          <w:rFonts w:ascii="Arial" w:hAnsi="Arial" w:cs="Arial"/>
        </w:rPr>
        <w:t xml:space="preserve">, G., </w:t>
      </w:r>
      <w:proofErr w:type="spellStart"/>
      <w:r w:rsidRPr="006C0211">
        <w:rPr>
          <w:rFonts w:ascii="Arial" w:hAnsi="Arial" w:cs="Arial"/>
        </w:rPr>
        <w:t>Böning</w:t>
      </w:r>
      <w:proofErr w:type="spellEnd"/>
      <w:r w:rsidRPr="006C0211">
        <w:rPr>
          <w:rFonts w:ascii="Arial" w:hAnsi="Arial" w:cs="Arial"/>
        </w:rPr>
        <w:t xml:space="preserve">, P., Marchant, H., </w:t>
      </w:r>
      <w:proofErr w:type="spellStart"/>
      <w:r w:rsidRPr="006C0211">
        <w:rPr>
          <w:rFonts w:ascii="Arial" w:hAnsi="Arial" w:cs="Arial"/>
        </w:rPr>
        <w:t>Dekaezemacker</w:t>
      </w:r>
      <w:proofErr w:type="spellEnd"/>
      <w:r w:rsidRPr="006C0211">
        <w:rPr>
          <w:rFonts w:ascii="Arial" w:hAnsi="Arial" w:cs="Arial"/>
        </w:rPr>
        <w:t xml:space="preserve">, J., Mohr, W., &amp; </w:t>
      </w:r>
      <w:proofErr w:type="spellStart"/>
      <w:r w:rsidRPr="006C0211">
        <w:rPr>
          <w:rFonts w:ascii="Arial" w:hAnsi="Arial" w:cs="Arial"/>
        </w:rPr>
        <w:t>Ploug</w:t>
      </w:r>
      <w:proofErr w:type="spellEnd"/>
      <w:r w:rsidRPr="006C0211">
        <w:rPr>
          <w:rFonts w:ascii="Arial" w:hAnsi="Arial" w:cs="Arial"/>
        </w:rPr>
        <w:t xml:space="preserve">, H. (2015). Simple approach for the preparation of 15−15N2-enriched water for nitrogen fixation assessments: evaluation, application and </w:t>
      </w:r>
      <w:proofErr w:type="gramStart"/>
      <w:r w:rsidRPr="006C0211">
        <w:rPr>
          <w:rFonts w:ascii="Arial" w:hAnsi="Arial" w:cs="Arial"/>
        </w:rPr>
        <w:t>recommendations  .</w:t>
      </w:r>
      <w:proofErr w:type="gramEnd"/>
      <w:r w:rsidRPr="006C0211">
        <w:rPr>
          <w:rFonts w:ascii="Arial" w:hAnsi="Arial" w:cs="Arial"/>
        </w:rPr>
        <w:t xml:space="preserve"> </w:t>
      </w:r>
      <w:r w:rsidRPr="006C0211">
        <w:rPr>
          <w:rFonts w:ascii="Arial" w:hAnsi="Arial" w:cs="Arial"/>
          <w:i/>
          <w:iCs/>
        </w:rPr>
        <w:t xml:space="preserve">Frontiers in </w:t>
      </w:r>
      <w:proofErr w:type="gramStart"/>
      <w:r w:rsidRPr="006C0211">
        <w:rPr>
          <w:rFonts w:ascii="Arial" w:hAnsi="Arial" w:cs="Arial"/>
          <w:i/>
          <w:iCs/>
        </w:rPr>
        <w:t xml:space="preserve">Microbiology  </w:t>
      </w:r>
      <w:r w:rsidRPr="006C0211">
        <w:rPr>
          <w:rFonts w:ascii="Arial" w:hAnsi="Arial" w:cs="Arial"/>
        </w:rPr>
        <w:t>.</w:t>
      </w:r>
      <w:proofErr w:type="gramEnd"/>
      <w:r w:rsidRPr="006C0211">
        <w:rPr>
          <w:rFonts w:ascii="Arial" w:hAnsi="Arial" w:cs="Arial"/>
        </w:rPr>
        <w:t xml:space="preserve"> Retrieved from </w:t>
      </w:r>
      <w:hyperlink r:id="rId13" w:history="1">
        <w:r w:rsidRPr="006C0211">
          <w:rPr>
            <w:rStyle w:val="Hyperlink"/>
            <w:rFonts w:ascii="Arial" w:hAnsi="Arial" w:cs="Arial"/>
          </w:rPr>
          <w:t>https://www.frontiersin.org/article/10.3389/fmicb.2015.00769</w:t>
        </w:r>
      </w:hyperlink>
    </w:p>
    <w:p w14:paraId="793EF6AA" w14:textId="46DC26DC" w:rsidR="001E0530" w:rsidRPr="006C0211" w:rsidRDefault="001E0530" w:rsidP="001E0530">
      <w:pPr>
        <w:pStyle w:val="NormalWeb"/>
        <w:ind w:left="480" w:hanging="480"/>
        <w:rPr>
          <w:rFonts w:ascii="Arial" w:hAnsi="Arial" w:cs="Arial"/>
        </w:rPr>
      </w:pPr>
      <w:r w:rsidRPr="006C0211">
        <w:rPr>
          <w:rFonts w:ascii="Arial" w:hAnsi="Arial" w:cs="Arial"/>
        </w:rPr>
        <w:t xml:space="preserve">Mohr, W., </w:t>
      </w:r>
      <w:proofErr w:type="spellStart"/>
      <w:r w:rsidRPr="006C0211">
        <w:rPr>
          <w:rFonts w:ascii="Arial" w:hAnsi="Arial" w:cs="Arial"/>
        </w:rPr>
        <w:t>Großkopf</w:t>
      </w:r>
      <w:proofErr w:type="spellEnd"/>
      <w:r w:rsidRPr="006C0211">
        <w:rPr>
          <w:rFonts w:ascii="Arial" w:hAnsi="Arial" w:cs="Arial"/>
        </w:rPr>
        <w:t xml:space="preserve">, T., Wallace, D. W. R., &amp; LaRoche, J. (2010). Methodological Underestimation of Oceanic Nitrogen Fixation Rates. </w:t>
      </w:r>
      <w:r w:rsidRPr="006C0211">
        <w:rPr>
          <w:rFonts w:ascii="Arial" w:hAnsi="Arial" w:cs="Arial"/>
          <w:i/>
          <w:iCs/>
        </w:rPr>
        <w:t>PLOS ONE</w:t>
      </w:r>
      <w:r w:rsidRPr="006C0211">
        <w:rPr>
          <w:rFonts w:ascii="Arial" w:hAnsi="Arial" w:cs="Arial"/>
        </w:rPr>
        <w:t xml:space="preserve">, </w:t>
      </w:r>
      <w:r w:rsidRPr="006C0211">
        <w:rPr>
          <w:rFonts w:ascii="Arial" w:hAnsi="Arial" w:cs="Arial"/>
          <w:i/>
          <w:iCs/>
        </w:rPr>
        <w:t>5</w:t>
      </w:r>
      <w:r w:rsidRPr="006C0211">
        <w:rPr>
          <w:rFonts w:ascii="Arial" w:hAnsi="Arial" w:cs="Arial"/>
        </w:rPr>
        <w:t xml:space="preserve">(9), e12583. Retrieved from </w:t>
      </w:r>
      <w:hyperlink r:id="rId14" w:history="1">
        <w:r w:rsidR="00990E2D" w:rsidRPr="006C0211">
          <w:rPr>
            <w:rStyle w:val="Hyperlink"/>
            <w:rFonts w:ascii="Arial" w:hAnsi="Arial" w:cs="Arial"/>
          </w:rPr>
          <w:t>https://doi.org/10.1371/journal.pone.0012583</w:t>
        </w:r>
      </w:hyperlink>
    </w:p>
    <w:p w14:paraId="117864D1" w14:textId="782ADB20" w:rsidR="00990E2D" w:rsidRPr="006C0211" w:rsidRDefault="00990E2D" w:rsidP="00990E2D">
      <w:pPr>
        <w:pStyle w:val="NormalWeb"/>
        <w:ind w:left="480" w:hanging="480"/>
        <w:rPr>
          <w:rFonts w:ascii="Arial" w:hAnsi="Arial" w:cs="Arial"/>
        </w:rPr>
      </w:pPr>
      <w:r w:rsidRPr="006C0211">
        <w:rPr>
          <w:rFonts w:ascii="Arial" w:hAnsi="Arial" w:cs="Arial"/>
        </w:rPr>
        <w:t xml:space="preserve">Montoya, J. P., Voss, M., Kahler, P., &amp; Capone, D. G. (1996). A Simple, High-Precision, High-Sensitivity Tracer Assay for N(inf2) Fixation. </w:t>
      </w:r>
      <w:r w:rsidRPr="006C0211">
        <w:rPr>
          <w:rFonts w:ascii="Arial" w:hAnsi="Arial" w:cs="Arial"/>
          <w:i/>
          <w:iCs/>
        </w:rPr>
        <w:t>Applied and Environmental Microbiology</w:t>
      </w:r>
      <w:r w:rsidRPr="006C0211">
        <w:rPr>
          <w:rFonts w:ascii="Arial" w:hAnsi="Arial" w:cs="Arial"/>
        </w:rPr>
        <w:t xml:space="preserve">, </w:t>
      </w:r>
      <w:r w:rsidRPr="006C0211">
        <w:rPr>
          <w:rFonts w:ascii="Arial" w:hAnsi="Arial" w:cs="Arial"/>
          <w:i/>
          <w:iCs/>
        </w:rPr>
        <w:t>62</w:t>
      </w:r>
      <w:r w:rsidRPr="006C0211">
        <w:rPr>
          <w:rFonts w:ascii="Arial" w:hAnsi="Arial" w:cs="Arial"/>
        </w:rPr>
        <w:t xml:space="preserve">(3), 986–993. Retrieved from </w:t>
      </w:r>
      <w:hyperlink r:id="rId15" w:history="1">
        <w:r w:rsidRPr="006C0211">
          <w:rPr>
            <w:rStyle w:val="Hyperlink"/>
            <w:rFonts w:ascii="Arial" w:hAnsi="Arial" w:cs="Arial"/>
          </w:rPr>
          <w:t>http://www.ncbi.nlm.nih.gov/pubmed/16535283</w:t>
        </w:r>
      </w:hyperlink>
    </w:p>
    <w:p w14:paraId="17D95F40" w14:textId="749385EF" w:rsidR="00990E2D" w:rsidRPr="006C0211" w:rsidRDefault="00990E2D" w:rsidP="00990E2D">
      <w:pPr>
        <w:pStyle w:val="NormalWeb"/>
        <w:ind w:left="480" w:hanging="480"/>
        <w:rPr>
          <w:rFonts w:ascii="Arial" w:hAnsi="Arial" w:cs="Arial"/>
        </w:rPr>
      </w:pPr>
      <w:r w:rsidRPr="006C0211">
        <w:rPr>
          <w:rFonts w:ascii="Arial" w:hAnsi="Arial" w:cs="Arial"/>
        </w:rPr>
        <w:t xml:space="preserve">Moore, R. M., </w:t>
      </w:r>
      <w:proofErr w:type="spellStart"/>
      <w:r w:rsidRPr="006C0211">
        <w:rPr>
          <w:rFonts w:ascii="Arial" w:hAnsi="Arial" w:cs="Arial"/>
        </w:rPr>
        <w:t>Punshon</w:t>
      </w:r>
      <w:proofErr w:type="spellEnd"/>
      <w:r w:rsidRPr="006C0211">
        <w:rPr>
          <w:rFonts w:ascii="Arial" w:hAnsi="Arial" w:cs="Arial"/>
        </w:rPr>
        <w:t xml:space="preserve">, S., Mahaffey, C., &amp; Karl, D. (2009). The relationship between dissolved hydrogen and nitrogen fixation in ocean waters. </w:t>
      </w:r>
      <w:r w:rsidRPr="006C0211">
        <w:rPr>
          <w:rFonts w:ascii="Arial" w:hAnsi="Arial" w:cs="Arial"/>
          <w:i/>
          <w:iCs/>
        </w:rPr>
        <w:t>Deep Sea Research Part I: Oceanographic Research Papers</w:t>
      </w:r>
      <w:r w:rsidRPr="006C0211">
        <w:rPr>
          <w:rFonts w:ascii="Arial" w:hAnsi="Arial" w:cs="Arial"/>
        </w:rPr>
        <w:t xml:space="preserve">, </w:t>
      </w:r>
      <w:r w:rsidRPr="006C0211">
        <w:rPr>
          <w:rFonts w:ascii="Arial" w:hAnsi="Arial" w:cs="Arial"/>
          <w:i/>
          <w:iCs/>
        </w:rPr>
        <w:t>56</w:t>
      </w:r>
      <w:r w:rsidRPr="006C0211">
        <w:rPr>
          <w:rFonts w:ascii="Arial" w:hAnsi="Arial" w:cs="Arial"/>
        </w:rPr>
        <w:t>(9), 1449–1458. https://doi.org/https://doi.org/10.1016/j.dsr.2009.04.008</w:t>
      </w:r>
    </w:p>
    <w:p w14:paraId="2B20C24E" w14:textId="77777777" w:rsidR="00990E2D" w:rsidRPr="006C0211" w:rsidRDefault="00990E2D" w:rsidP="00990E2D">
      <w:pPr>
        <w:pStyle w:val="NormalWeb"/>
        <w:ind w:left="480" w:hanging="480"/>
        <w:rPr>
          <w:rFonts w:ascii="Arial" w:hAnsi="Arial" w:cs="Arial"/>
        </w:rPr>
      </w:pPr>
      <w:r w:rsidRPr="006C0211">
        <w:rPr>
          <w:rFonts w:ascii="Arial" w:hAnsi="Arial" w:cs="Arial"/>
        </w:rPr>
        <w:t xml:space="preserve">Wilson, S. T., </w:t>
      </w:r>
      <w:proofErr w:type="spellStart"/>
      <w:r w:rsidRPr="006C0211">
        <w:rPr>
          <w:rFonts w:ascii="Arial" w:hAnsi="Arial" w:cs="Arial"/>
        </w:rPr>
        <w:t>Böttjer</w:t>
      </w:r>
      <w:proofErr w:type="spellEnd"/>
      <w:r w:rsidRPr="006C0211">
        <w:rPr>
          <w:rFonts w:ascii="Arial" w:hAnsi="Arial" w:cs="Arial"/>
        </w:rPr>
        <w:t xml:space="preserve">, D., Church, M. J., &amp; Karl, D. M. (2012). Comparative Assessment of Nitrogen Fixation Methodologies, Conducted in the Oligotrophic North Pacific Ocean. </w:t>
      </w:r>
      <w:r w:rsidRPr="006C0211">
        <w:rPr>
          <w:rFonts w:ascii="Arial" w:hAnsi="Arial" w:cs="Arial"/>
          <w:i/>
          <w:iCs/>
        </w:rPr>
        <w:t>Applied and Environmental Microbiology</w:t>
      </w:r>
      <w:r w:rsidRPr="006C0211">
        <w:rPr>
          <w:rFonts w:ascii="Arial" w:hAnsi="Arial" w:cs="Arial"/>
        </w:rPr>
        <w:t xml:space="preserve">, </w:t>
      </w:r>
      <w:r w:rsidRPr="006C0211">
        <w:rPr>
          <w:rFonts w:ascii="Arial" w:hAnsi="Arial" w:cs="Arial"/>
          <w:i/>
          <w:iCs/>
        </w:rPr>
        <w:t>78</w:t>
      </w:r>
      <w:r w:rsidRPr="006C0211">
        <w:rPr>
          <w:rFonts w:ascii="Arial" w:hAnsi="Arial" w:cs="Arial"/>
        </w:rPr>
        <w:t>(18), 6516–6523. https://doi.org/10.1128/AEM.01146-12</w:t>
      </w:r>
    </w:p>
    <w:p w14:paraId="78D04C31" w14:textId="77777777" w:rsidR="00990E2D" w:rsidRPr="006C0211" w:rsidRDefault="00990E2D" w:rsidP="00990E2D">
      <w:pPr>
        <w:pStyle w:val="NormalWeb"/>
        <w:ind w:left="480" w:hanging="480"/>
        <w:rPr>
          <w:rFonts w:ascii="Arial" w:hAnsi="Arial" w:cs="Arial"/>
        </w:rPr>
      </w:pPr>
      <w:r w:rsidRPr="006C0211">
        <w:rPr>
          <w:rFonts w:ascii="Arial" w:hAnsi="Arial" w:cs="Arial"/>
        </w:rPr>
        <w:t xml:space="preserve">Wilson, S. T., del Valle, D. A., </w:t>
      </w:r>
      <w:proofErr w:type="spellStart"/>
      <w:r w:rsidRPr="006C0211">
        <w:rPr>
          <w:rFonts w:ascii="Arial" w:hAnsi="Arial" w:cs="Arial"/>
        </w:rPr>
        <w:t>Robidart</w:t>
      </w:r>
      <w:proofErr w:type="spellEnd"/>
      <w:r w:rsidRPr="006C0211">
        <w:rPr>
          <w:rFonts w:ascii="Arial" w:hAnsi="Arial" w:cs="Arial"/>
        </w:rPr>
        <w:t xml:space="preserve">, J. C., </w:t>
      </w:r>
      <w:proofErr w:type="spellStart"/>
      <w:r w:rsidRPr="006C0211">
        <w:rPr>
          <w:rFonts w:ascii="Arial" w:hAnsi="Arial" w:cs="Arial"/>
        </w:rPr>
        <w:t>Zehr</w:t>
      </w:r>
      <w:proofErr w:type="spellEnd"/>
      <w:r w:rsidRPr="006C0211">
        <w:rPr>
          <w:rFonts w:ascii="Arial" w:hAnsi="Arial" w:cs="Arial"/>
        </w:rPr>
        <w:t xml:space="preserve">, J. P., &amp; Karl, D. M. (2013). Dissolved hydrogen and nitrogen fixation in the oligotrophic North Pacific Subtropical Gyre. </w:t>
      </w:r>
      <w:r w:rsidRPr="006C0211">
        <w:rPr>
          <w:rFonts w:ascii="Arial" w:hAnsi="Arial" w:cs="Arial"/>
          <w:i/>
          <w:iCs/>
        </w:rPr>
        <w:t>Environmental Microbiology Reports</w:t>
      </w:r>
      <w:r w:rsidRPr="006C0211">
        <w:rPr>
          <w:rFonts w:ascii="Arial" w:hAnsi="Arial" w:cs="Arial"/>
        </w:rPr>
        <w:t xml:space="preserve">, </w:t>
      </w:r>
      <w:r w:rsidRPr="006C0211">
        <w:rPr>
          <w:rFonts w:ascii="Arial" w:hAnsi="Arial" w:cs="Arial"/>
          <w:i/>
          <w:iCs/>
        </w:rPr>
        <w:t>5</w:t>
      </w:r>
      <w:r w:rsidRPr="006C0211">
        <w:rPr>
          <w:rFonts w:ascii="Arial" w:hAnsi="Arial" w:cs="Arial"/>
        </w:rPr>
        <w:t>(5), 697–704. https://doi.org/10.1111/emi.412069</w:t>
      </w:r>
    </w:p>
    <w:p w14:paraId="2242DA07" w14:textId="77777777" w:rsidR="00E01234" w:rsidRPr="006C0211" w:rsidRDefault="00E01234" w:rsidP="005175F7">
      <w:pPr>
        <w:jc w:val="both"/>
        <w:rPr>
          <w:rFonts w:ascii="Arial" w:hAnsi="Arial" w:cs="Arial"/>
          <w:i/>
          <w:color w:val="000000"/>
        </w:rPr>
      </w:pPr>
    </w:p>
    <w:p w14:paraId="36D1F1C7" w14:textId="77777777" w:rsidR="00E01234" w:rsidRDefault="00E01234" w:rsidP="005175F7">
      <w:pPr>
        <w:jc w:val="both"/>
        <w:rPr>
          <w:rFonts w:ascii="Arial" w:hAnsi="Arial" w:cs="Arial"/>
          <w:b/>
          <w:i/>
          <w:color w:val="000000"/>
        </w:rPr>
      </w:pPr>
    </w:p>
    <w:p w14:paraId="7AF3F3B3" w14:textId="2FC92201" w:rsidR="0032107C" w:rsidRPr="00946B92" w:rsidRDefault="0032107C" w:rsidP="005175F7">
      <w:pPr>
        <w:jc w:val="both"/>
        <w:rPr>
          <w:rFonts w:ascii="Arial" w:hAnsi="Arial" w:cs="Arial"/>
          <w:color w:val="000000"/>
        </w:rPr>
      </w:pPr>
      <w:r w:rsidRPr="00946B92">
        <w:rPr>
          <w:rFonts w:ascii="Arial" w:hAnsi="Arial" w:cs="Arial"/>
          <w:b/>
          <w:i/>
          <w:color w:val="000000"/>
        </w:rPr>
        <w:t xml:space="preserve">Feedback and Next Steps: </w:t>
      </w:r>
      <w:r w:rsidR="003C4C50" w:rsidRPr="00946B92">
        <w:rPr>
          <w:rFonts w:ascii="Arial" w:hAnsi="Arial" w:cs="Arial"/>
          <w:color w:val="000000"/>
        </w:rPr>
        <w:t xml:space="preserve">In addition to summarizing the input gained from prior teleconferences </w:t>
      </w:r>
      <w:r w:rsidR="00296042">
        <w:rPr>
          <w:rFonts w:ascii="Arial" w:hAnsi="Arial" w:cs="Arial"/>
          <w:color w:val="000000"/>
        </w:rPr>
        <w:t>and</w:t>
      </w:r>
      <w:r w:rsidR="003C4C50" w:rsidRPr="00946B92">
        <w:rPr>
          <w:rFonts w:ascii="Arial" w:hAnsi="Arial" w:cs="Arial"/>
          <w:color w:val="000000"/>
        </w:rPr>
        <w:t xml:space="preserve"> discussions at the Ocean Sciences town hall, </w:t>
      </w:r>
      <w:r w:rsidRPr="00946B92">
        <w:rPr>
          <w:rFonts w:ascii="Arial" w:hAnsi="Arial" w:cs="Arial"/>
          <w:color w:val="000000"/>
        </w:rPr>
        <w:t xml:space="preserve">we have compiled </w:t>
      </w:r>
      <w:r w:rsidRPr="00946B92">
        <w:rPr>
          <w:rFonts w:ascii="Arial" w:hAnsi="Arial" w:cs="Arial"/>
          <w:color w:val="000000"/>
        </w:rPr>
        <w:lastRenderedPageBreak/>
        <w:t>results from the distributed questionnaire (</w:t>
      </w:r>
      <w:hyperlink r:id="rId16" w:history="1">
        <w:r w:rsidR="003C4C50" w:rsidRPr="00946B92">
          <w:rPr>
            <w:rStyle w:val="Hyperlink"/>
            <w:rFonts w:ascii="Arial" w:hAnsi="Arial" w:cs="Arial"/>
          </w:rPr>
          <w:t>li</w:t>
        </w:r>
        <w:r w:rsidR="003C4C50" w:rsidRPr="00946B92">
          <w:rPr>
            <w:rStyle w:val="Hyperlink"/>
            <w:rFonts w:ascii="Arial" w:hAnsi="Arial" w:cs="Arial"/>
          </w:rPr>
          <w:t>n</w:t>
        </w:r>
        <w:r w:rsidR="003C4C50" w:rsidRPr="00946B92">
          <w:rPr>
            <w:rStyle w:val="Hyperlink"/>
            <w:rFonts w:ascii="Arial" w:hAnsi="Arial" w:cs="Arial"/>
          </w:rPr>
          <w:t>k</w:t>
        </w:r>
      </w:hyperlink>
      <w:r w:rsidR="003C4C50" w:rsidRPr="00946B92">
        <w:rPr>
          <w:rFonts w:ascii="Arial" w:hAnsi="Arial" w:cs="Arial"/>
          <w:color w:val="000000"/>
        </w:rPr>
        <w:t xml:space="preserve">, n=16 responses). All of this community input will be used to form the basis for a follow-up </w:t>
      </w:r>
      <w:r w:rsidR="00296042">
        <w:rPr>
          <w:rFonts w:ascii="Arial" w:hAnsi="Arial" w:cs="Arial"/>
          <w:color w:val="000000"/>
        </w:rPr>
        <w:t xml:space="preserve">meeting of the </w:t>
      </w:r>
      <w:r w:rsidR="00296042" w:rsidRPr="00946B92">
        <w:rPr>
          <w:rFonts w:ascii="Arial" w:hAnsi="Arial" w:cs="Arial"/>
          <w:color w:val="000000"/>
        </w:rPr>
        <w:t>OCB N</w:t>
      </w:r>
      <w:r w:rsidR="00296042" w:rsidRPr="00946B92">
        <w:rPr>
          <w:rFonts w:ascii="Arial" w:hAnsi="Arial" w:cs="Arial"/>
          <w:color w:val="000000"/>
          <w:vertAlign w:val="subscript"/>
        </w:rPr>
        <w:t xml:space="preserve">2 </w:t>
      </w:r>
      <w:r w:rsidR="00296042" w:rsidRPr="00946B92">
        <w:rPr>
          <w:rFonts w:ascii="Arial" w:hAnsi="Arial" w:cs="Arial"/>
          <w:color w:val="000000"/>
        </w:rPr>
        <w:t xml:space="preserve">fixation working group </w:t>
      </w:r>
      <w:r w:rsidRPr="00946B92">
        <w:rPr>
          <w:rFonts w:ascii="Arial" w:hAnsi="Arial" w:cs="Arial"/>
          <w:color w:val="000000"/>
        </w:rPr>
        <w:t>scheduled to be held in Boston, MA on May 31-June 1</w:t>
      </w:r>
      <w:r w:rsidR="00296042">
        <w:rPr>
          <w:rFonts w:ascii="Arial" w:hAnsi="Arial" w:cs="Arial"/>
          <w:color w:val="000000"/>
        </w:rPr>
        <w:t>, 2018</w:t>
      </w:r>
      <w:r w:rsidRPr="00946B92">
        <w:rPr>
          <w:rFonts w:ascii="Arial" w:hAnsi="Arial" w:cs="Arial"/>
          <w:color w:val="000000"/>
        </w:rPr>
        <w:t xml:space="preserve">. </w:t>
      </w:r>
    </w:p>
    <w:p w14:paraId="5026D9E8" w14:textId="77777777" w:rsidR="0032107C" w:rsidRPr="00946B92" w:rsidRDefault="0032107C" w:rsidP="005175F7">
      <w:pPr>
        <w:jc w:val="both"/>
        <w:rPr>
          <w:rFonts w:ascii="Arial" w:hAnsi="Arial" w:cs="Arial"/>
          <w:color w:val="000000"/>
        </w:rPr>
      </w:pPr>
    </w:p>
    <w:p w14:paraId="127F61FC" w14:textId="5C2FB3B2" w:rsidR="00F755F5" w:rsidRPr="00946B92" w:rsidRDefault="00F755F5" w:rsidP="005175F7">
      <w:pPr>
        <w:jc w:val="both"/>
        <w:rPr>
          <w:rFonts w:ascii="Arial" w:hAnsi="Arial" w:cs="Arial"/>
        </w:rPr>
      </w:pPr>
    </w:p>
    <w:sectPr w:rsidR="00F755F5" w:rsidRPr="00946B92" w:rsidSect="008C0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3EE"/>
    <w:multiLevelType w:val="hybridMultilevel"/>
    <w:tmpl w:val="916419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3E80"/>
    <w:multiLevelType w:val="hybridMultilevel"/>
    <w:tmpl w:val="7F58AF5E"/>
    <w:lvl w:ilvl="0" w:tplc="2CF078C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6F30E1"/>
    <w:multiLevelType w:val="hybridMultilevel"/>
    <w:tmpl w:val="21E0DEB2"/>
    <w:lvl w:ilvl="0" w:tplc="06F2CB3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8F4587"/>
    <w:multiLevelType w:val="hybridMultilevel"/>
    <w:tmpl w:val="FD263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A0B6C"/>
    <w:multiLevelType w:val="hybridMultilevel"/>
    <w:tmpl w:val="2DF8E590"/>
    <w:lvl w:ilvl="0" w:tplc="EACA0DA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94426B"/>
    <w:multiLevelType w:val="hybridMultilevel"/>
    <w:tmpl w:val="B010D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B24BE"/>
    <w:multiLevelType w:val="hybridMultilevel"/>
    <w:tmpl w:val="AF2800FA"/>
    <w:lvl w:ilvl="0" w:tplc="EACA0DA0">
      <w:start w:val="1"/>
      <w:numFmt w:val="lowerLetter"/>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C83E10"/>
    <w:multiLevelType w:val="hybridMultilevel"/>
    <w:tmpl w:val="13B8ECD6"/>
    <w:lvl w:ilvl="0" w:tplc="68B43F54">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40382"/>
    <w:multiLevelType w:val="hybridMultilevel"/>
    <w:tmpl w:val="80E66E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3"/>
  </w:num>
  <w:num w:numId="3">
    <w:abstractNumId w:val="4"/>
  </w:num>
  <w:num w:numId="4">
    <w:abstractNumId w:val="6"/>
  </w:num>
  <w:num w:numId="5">
    <w:abstractNumId w:val="8"/>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EA9"/>
    <w:rsid w:val="00026A01"/>
    <w:rsid w:val="000308D1"/>
    <w:rsid w:val="000412B9"/>
    <w:rsid w:val="000D7397"/>
    <w:rsid w:val="000E0AEC"/>
    <w:rsid w:val="00110374"/>
    <w:rsid w:val="0011674D"/>
    <w:rsid w:val="0012079C"/>
    <w:rsid w:val="00126729"/>
    <w:rsid w:val="001A4700"/>
    <w:rsid w:val="001E0530"/>
    <w:rsid w:val="00213DB4"/>
    <w:rsid w:val="00270692"/>
    <w:rsid w:val="002828C6"/>
    <w:rsid w:val="0028539F"/>
    <w:rsid w:val="00285A47"/>
    <w:rsid w:val="00296042"/>
    <w:rsid w:val="00296DC8"/>
    <w:rsid w:val="002B16B6"/>
    <w:rsid w:val="002B3045"/>
    <w:rsid w:val="0032107C"/>
    <w:rsid w:val="003A3415"/>
    <w:rsid w:val="003C4C50"/>
    <w:rsid w:val="003D050F"/>
    <w:rsid w:val="003E2DF2"/>
    <w:rsid w:val="003F2D1E"/>
    <w:rsid w:val="003F7876"/>
    <w:rsid w:val="004A2DE9"/>
    <w:rsid w:val="005175F7"/>
    <w:rsid w:val="00526BEC"/>
    <w:rsid w:val="005E6C67"/>
    <w:rsid w:val="00601A1B"/>
    <w:rsid w:val="0061470E"/>
    <w:rsid w:val="006329A6"/>
    <w:rsid w:val="00646569"/>
    <w:rsid w:val="006C0211"/>
    <w:rsid w:val="006E1616"/>
    <w:rsid w:val="00751F16"/>
    <w:rsid w:val="007602DF"/>
    <w:rsid w:val="0078210C"/>
    <w:rsid w:val="00795C71"/>
    <w:rsid w:val="007A2D81"/>
    <w:rsid w:val="007F6FD5"/>
    <w:rsid w:val="00826CA2"/>
    <w:rsid w:val="00861A54"/>
    <w:rsid w:val="008657AF"/>
    <w:rsid w:val="008C0100"/>
    <w:rsid w:val="008E5411"/>
    <w:rsid w:val="00946B92"/>
    <w:rsid w:val="00990E2D"/>
    <w:rsid w:val="00A145F0"/>
    <w:rsid w:val="00A30087"/>
    <w:rsid w:val="00A31FF6"/>
    <w:rsid w:val="00A63E1F"/>
    <w:rsid w:val="00A74E2D"/>
    <w:rsid w:val="00A90A21"/>
    <w:rsid w:val="00AD6EA9"/>
    <w:rsid w:val="00AF67BA"/>
    <w:rsid w:val="00B04203"/>
    <w:rsid w:val="00B958DF"/>
    <w:rsid w:val="00BB6D7F"/>
    <w:rsid w:val="00BD6D3A"/>
    <w:rsid w:val="00BE11D8"/>
    <w:rsid w:val="00C056E3"/>
    <w:rsid w:val="00C40480"/>
    <w:rsid w:val="00C437DF"/>
    <w:rsid w:val="00C65EBC"/>
    <w:rsid w:val="00CA0BD5"/>
    <w:rsid w:val="00CA6F5E"/>
    <w:rsid w:val="00D50B26"/>
    <w:rsid w:val="00D729F3"/>
    <w:rsid w:val="00DE754E"/>
    <w:rsid w:val="00DF2B53"/>
    <w:rsid w:val="00E01234"/>
    <w:rsid w:val="00E877CF"/>
    <w:rsid w:val="00EB1D65"/>
    <w:rsid w:val="00F31AED"/>
    <w:rsid w:val="00F35EC1"/>
    <w:rsid w:val="00F75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6A603"/>
  <w15:docId w15:val="{57B2C34F-2D9D-E148-BD03-190F9726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7DF"/>
  </w:style>
  <w:style w:type="paragraph" w:styleId="Heading1">
    <w:name w:val="heading 1"/>
    <w:basedOn w:val="Normal"/>
    <w:link w:val="Heading1Char"/>
    <w:uiPriority w:val="9"/>
    <w:qFormat/>
    <w:rsid w:val="005175F7"/>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C437D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rsid w:val="00C437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37DF"/>
  </w:style>
  <w:style w:type="paragraph" w:styleId="ListParagraph">
    <w:name w:val="List Paragraph"/>
    <w:basedOn w:val="Normal"/>
    <w:uiPriority w:val="34"/>
    <w:qFormat/>
    <w:rsid w:val="00861A54"/>
    <w:pPr>
      <w:ind w:left="720"/>
      <w:contextualSpacing/>
    </w:pPr>
  </w:style>
  <w:style w:type="paragraph" w:styleId="BalloonText">
    <w:name w:val="Balloon Text"/>
    <w:basedOn w:val="Normal"/>
    <w:link w:val="BalloonTextChar"/>
    <w:uiPriority w:val="99"/>
    <w:semiHidden/>
    <w:unhideWhenUsed/>
    <w:rsid w:val="006465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569"/>
    <w:rPr>
      <w:rFonts w:ascii="Lucida Grande" w:hAnsi="Lucida Grande" w:cs="Lucida Grande"/>
      <w:sz w:val="18"/>
      <w:szCs w:val="18"/>
    </w:rPr>
  </w:style>
  <w:style w:type="character" w:styleId="CommentReference">
    <w:name w:val="annotation reference"/>
    <w:basedOn w:val="DefaultParagraphFont"/>
    <w:uiPriority w:val="99"/>
    <w:semiHidden/>
    <w:unhideWhenUsed/>
    <w:rsid w:val="00646569"/>
    <w:rPr>
      <w:sz w:val="18"/>
      <w:szCs w:val="18"/>
    </w:rPr>
  </w:style>
  <w:style w:type="paragraph" w:styleId="CommentText">
    <w:name w:val="annotation text"/>
    <w:basedOn w:val="Normal"/>
    <w:link w:val="CommentTextChar"/>
    <w:uiPriority w:val="99"/>
    <w:semiHidden/>
    <w:unhideWhenUsed/>
    <w:rsid w:val="00646569"/>
  </w:style>
  <w:style w:type="character" w:customStyle="1" w:styleId="CommentTextChar">
    <w:name w:val="Comment Text Char"/>
    <w:basedOn w:val="DefaultParagraphFont"/>
    <w:link w:val="CommentText"/>
    <w:uiPriority w:val="99"/>
    <w:semiHidden/>
    <w:rsid w:val="00646569"/>
  </w:style>
  <w:style w:type="paragraph" w:styleId="CommentSubject">
    <w:name w:val="annotation subject"/>
    <w:basedOn w:val="CommentText"/>
    <w:next w:val="CommentText"/>
    <w:link w:val="CommentSubjectChar"/>
    <w:uiPriority w:val="99"/>
    <w:semiHidden/>
    <w:unhideWhenUsed/>
    <w:rsid w:val="00646569"/>
    <w:rPr>
      <w:b/>
      <w:bCs/>
      <w:sz w:val="20"/>
      <w:szCs w:val="20"/>
    </w:rPr>
  </w:style>
  <w:style w:type="character" w:customStyle="1" w:styleId="CommentSubjectChar">
    <w:name w:val="Comment Subject Char"/>
    <w:basedOn w:val="CommentTextChar"/>
    <w:link w:val="CommentSubject"/>
    <w:uiPriority w:val="99"/>
    <w:semiHidden/>
    <w:rsid w:val="00646569"/>
    <w:rPr>
      <w:b/>
      <w:bCs/>
      <w:sz w:val="20"/>
      <w:szCs w:val="20"/>
    </w:rPr>
  </w:style>
  <w:style w:type="character" w:styleId="Hyperlink">
    <w:name w:val="Hyperlink"/>
    <w:basedOn w:val="DefaultParagraphFont"/>
    <w:uiPriority w:val="99"/>
    <w:unhideWhenUsed/>
    <w:rsid w:val="003C4C50"/>
    <w:rPr>
      <w:color w:val="0563C1" w:themeColor="hyperlink"/>
      <w:u w:val="single"/>
    </w:rPr>
  </w:style>
  <w:style w:type="character" w:customStyle="1" w:styleId="Heading1Char">
    <w:name w:val="Heading 1 Char"/>
    <w:basedOn w:val="DefaultParagraphFont"/>
    <w:link w:val="Heading1"/>
    <w:uiPriority w:val="9"/>
    <w:rsid w:val="005175F7"/>
    <w:rPr>
      <w:rFonts w:ascii="Times New Roman" w:hAnsi="Times New Roman" w:cs="Times New Roman"/>
      <w:b/>
      <w:bCs/>
      <w:kern w:val="36"/>
      <w:sz w:val="48"/>
      <w:szCs w:val="48"/>
    </w:rPr>
  </w:style>
  <w:style w:type="character" w:customStyle="1" w:styleId="hlfld-title">
    <w:name w:val="hlfld-title"/>
    <w:basedOn w:val="DefaultParagraphFont"/>
    <w:rsid w:val="005175F7"/>
  </w:style>
  <w:style w:type="character" w:customStyle="1" w:styleId="hlfld-contribauthor">
    <w:name w:val="hlfld-contribauthor"/>
    <w:basedOn w:val="DefaultParagraphFont"/>
    <w:rsid w:val="005175F7"/>
  </w:style>
  <w:style w:type="character" w:customStyle="1" w:styleId="nlmxref-aff">
    <w:name w:val="nlm_xref-aff"/>
    <w:basedOn w:val="DefaultParagraphFont"/>
    <w:rsid w:val="005175F7"/>
  </w:style>
  <w:style w:type="character" w:customStyle="1" w:styleId="orcid-link-icon">
    <w:name w:val="orcid-link-icon"/>
    <w:basedOn w:val="DefaultParagraphFont"/>
    <w:rsid w:val="005175F7"/>
  </w:style>
  <w:style w:type="character" w:styleId="HTMLCite">
    <w:name w:val="HTML Cite"/>
    <w:basedOn w:val="DefaultParagraphFont"/>
    <w:uiPriority w:val="99"/>
    <w:semiHidden/>
    <w:unhideWhenUsed/>
    <w:rsid w:val="005175F7"/>
    <w:rPr>
      <w:i/>
      <w:iCs/>
    </w:rPr>
  </w:style>
  <w:style w:type="character" w:customStyle="1" w:styleId="citationyear">
    <w:name w:val="citation_year"/>
    <w:basedOn w:val="DefaultParagraphFont"/>
    <w:rsid w:val="005175F7"/>
  </w:style>
  <w:style w:type="character" w:customStyle="1" w:styleId="citationvolume">
    <w:name w:val="citation_volume"/>
    <w:basedOn w:val="DefaultParagraphFont"/>
    <w:rsid w:val="005175F7"/>
  </w:style>
  <w:style w:type="character" w:styleId="Strong">
    <w:name w:val="Strong"/>
    <w:basedOn w:val="DefaultParagraphFont"/>
    <w:uiPriority w:val="22"/>
    <w:qFormat/>
    <w:rsid w:val="005175F7"/>
    <w:rPr>
      <w:b/>
      <w:bCs/>
    </w:rPr>
  </w:style>
  <w:style w:type="character" w:customStyle="1" w:styleId="cit-info">
    <w:name w:val="cit-info"/>
    <w:basedOn w:val="DefaultParagraphFont"/>
    <w:rsid w:val="005175F7"/>
  </w:style>
  <w:style w:type="paragraph" w:styleId="NormalWeb">
    <w:name w:val="Normal (Web)"/>
    <w:basedOn w:val="Normal"/>
    <w:uiPriority w:val="99"/>
    <w:semiHidden/>
    <w:unhideWhenUsed/>
    <w:rsid w:val="001E0530"/>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semiHidden/>
    <w:rsid w:val="00C437DF"/>
    <w:rPr>
      <w:rFonts w:asciiTheme="majorHAnsi" w:eastAsiaTheme="majorEastAsia" w:hAnsiTheme="majorHAnsi" w:cstheme="majorBidi"/>
      <w:i/>
      <w:iCs/>
      <w:color w:val="2E74B5" w:themeColor="accent1" w:themeShade="BF"/>
    </w:rPr>
  </w:style>
  <w:style w:type="paragraph" w:customStyle="1" w:styleId="Affiliation">
    <w:name w:val="Affiliation"/>
    <w:basedOn w:val="Heading4"/>
    <w:next w:val="Normal"/>
    <w:autoRedefine/>
    <w:qFormat/>
    <w:rsid w:val="00C437DF"/>
    <w:rPr>
      <w:rFonts w:ascii="Times New Roman" w:hAnsi="Times New Roman"/>
      <w:i w:val="0"/>
      <w:color w:val="000000" w:themeColor="text1"/>
      <w:sz w:val="22"/>
    </w:rPr>
  </w:style>
  <w:style w:type="paragraph" w:customStyle="1" w:styleId="Title-IO">
    <w:name w:val="Title-IO"/>
    <w:basedOn w:val="Normal"/>
    <w:qFormat/>
    <w:rsid w:val="00C437DF"/>
    <w:pPr>
      <w:shd w:val="clear" w:color="auto" w:fill="FFFFFF"/>
      <w:spacing w:after="72"/>
      <w:jc w:val="center"/>
      <w:outlineLvl w:val="0"/>
    </w:pPr>
    <w:rPr>
      <w:rFonts w:ascii="Roboto Condensed" w:eastAsia="Times New Roman" w:hAnsi="Roboto Condensed"/>
      <w:color w:val="0A92CF"/>
      <w:kern w:val="36"/>
      <w:sz w:val="48"/>
      <w:szCs w:val="48"/>
    </w:rPr>
  </w:style>
  <w:style w:type="character" w:styleId="UnresolvedMention">
    <w:name w:val="Unresolved Mention"/>
    <w:basedOn w:val="DefaultParagraphFont"/>
    <w:uiPriority w:val="99"/>
    <w:semiHidden/>
    <w:unhideWhenUsed/>
    <w:rsid w:val="005E6C67"/>
    <w:rPr>
      <w:color w:val="605E5C"/>
      <w:shd w:val="clear" w:color="auto" w:fill="E1DFDD"/>
    </w:rPr>
  </w:style>
  <w:style w:type="character" w:styleId="FollowedHyperlink">
    <w:name w:val="FollowedHyperlink"/>
    <w:basedOn w:val="DefaultParagraphFont"/>
    <w:uiPriority w:val="99"/>
    <w:semiHidden/>
    <w:unhideWhenUsed/>
    <w:rsid w:val="00C437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3178">
      <w:bodyDiv w:val="1"/>
      <w:marLeft w:val="0"/>
      <w:marRight w:val="0"/>
      <w:marTop w:val="0"/>
      <w:marBottom w:val="0"/>
      <w:divBdr>
        <w:top w:val="none" w:sz="0" w:space="0" w:color="auto"/>
        <w:left w:val="none" w:sz="0" w:space="0" w:color="auto"/>
        <w:bottom w:val="none" w:sz="0" w:space="0" w:color="auto"/>
        <w:right w:val="none" w:sz="0" w:space="0" w:color="auto"/>
      </w:divBdr>
    </w:div>
    <w:div w:id="74011211">
      <w:bodyDiv w:val="1"/>
      <w:marLeft w:val="0"/>
      <w:marRight w:val="0"/>
      <w:marTop w:val="0"/>
      <w:marBottom w:val="0"/>
      <w:divBdr>
        <w:top w:val="none" w:sz="0" w:space="0" w:color="auto"/>
        <w:left w:val="none" w:sz="0" w:space="0" w:color="auto"/>
        <w:bottom w:val="none" w:sz="0" w:space="0" w:color="auto"/>
        <w:right w:val="none" w:sz="0" w:space="0" w:color="auto"/>
      </w:divBdr>
    </w:div>
    <w:div w:id="178008911">
      <w:bodyDiv w:val="1"/>
      <w:marLeft w:val="0"/>
      <w:marRight w:val="0"/>
      <w:marTop w:val="0"/>
      <w:marBottom w:val="0"/>
      <w:divBdr>
        <w:top w:val="none" w:sz="0" w:space="0" w:color="auto"/>
        <w:left w:val="none" w:sz="0" w:space="0" w:color="auto"/>
        <w:bottom w:val="none" w:sz="0" w:space="0" w:color="auto"/>
        <w:right w:val="none" w:sz="0" w:space="0" w:color="auto"/>
      </w:divBdr>
    </w:div>
    <w:div w:id="254479821">
      <w:bodyDiv w:val="1"/>
      <w:marLeft w:val="0"/>
      <w:marRight w:val="0"/>
      <w:marTop w:val="0"/>
      <w:marBottom w:val="0"/>
      <w:divBdr>
        <w:top w:val="none" w:sz="0" w:space="0" w:color="auto"/>
        <w:left w:val="none" w:sz="0" w:space="0" w:color="auto"/>
        <w:bottom w:val="none" w:sz="0" w:space="0" w:color="auto"/>
        <w:right w:val="none" w:sz="0" w:space="0" w:color="auto"/>
      </w:divBdr>
    </w:div>
    <w:div w:id="441726187">
      <w:bodyDiv w:val="1"/>
      <w:marLeft w:val="0"/>
      <w:marRight w:val="0"/>
      <w:marTop w:val="0"/>
      <w:marBottom w:val="0"/>
      <w:divBdr>
        <w:top w:val="none" w:sz="0" w:space="0" w:color="auto"/>
        <w:left w:val="none" w:sz="0" w:space="0" w:color="auto"/>
        <w:bottom w:val="none" w:sz="0" w:space="0" w:color="auto"/>
        <w:right w:val="none" w:sz="0" w:space="0" w:color="auto"/>
      </w:divBdr>
    </w:div>
    <w:div w:id="732389169">
      <w:bodyDiv w:val="1"/>
      <w:marLeft w:val="0"/>
      <w:marRight w:val="0"/>
      <w:marTop w:val="0"/>
      <w:marBottom w:val="0"/>
      <w:divBdr>
        <w:top w:val="none" w:sz="0" w:space="0" w:color="auto"/>
        <w:left w:val="none" w:sz="0" w:space="0" w:color="auto"/>
        <w:bottom w:val="none" w:sz="0" w:space="0" w:color="auto"/>
        <w:right w:val="none" w:sz="0" w:space="0" w:color="auto"/>
      </w:divBdr>
      <w:divsChild>
        <w:div w:id="61298288">
          <w:marLeft w:val="0"/>
          <w:marRight w:val="0"/>
          <w:marTop w:val="0"/>
          <w:marBottom w:val="0"/>
          <w:divBdr>
            <w:top w:val="none" w:sz="0" w:space="0" w:color="auto"/>
            <w:left w:val="none" w:sz="0" w:space="0" w:color="auto"/>
            <w:bottom w:val="none" w:sz="0" w:space="0" w:color="auto"/>
            <w:right w:val="none" w:sz="0" w:space="0" w:color="auto"/>
          </w:divBdr>
        </w:div>
      </w:divsChild>
    </w:div>
    <w:div w:id="840197207">
      <w:bodyDiv w:val="1"/>
      <w:marLeft w:val="0"/>
      <w:marRight w:val="0"/>
      <w:marTop w:val="0"/>
      <w:marBottom w:val="0"/>
      <w:divBdr>
        <w:top w:val="none" w:sz="0" w:space="0" w:color="auto"/>
        <w:left w:val="none" w:sz="0" w:space="0" w:color="auto"/>
        <w:bottom w:val="none" w:sz="0" w:space="0" w:color="auto"/>
        <w:right w:val="none" w:sz="0" w:space="0" w:color="auto"/>
      </w:divBdr>
    </w:div>
    <w:div w:id="1074279795">
      <w:bodyDiv w:val="1"/>
      <w:marLeft w:val="0"/>
      <w:marRight w:val="0"/>
      <w:marTop w:val="0"/>
      <w:marBottom w:val="0"/>
      <w:divBdr>
        <w:top w:val="none" w:sz="0" w:space="0" w:color="auto"/>
        <w:left w:val="none" w:sz="0" w:space="0" w:color="auto"/>
        <w:bottom w:val="none" w:sz="0" w:space="0" w:color="auto"/>
        <w:right w:val="none" w:sz="0" w:space="0" w:color="auto"/>
      </w:divBdr>
    </w:div>
    <w:div w:id="1196194061">
      <w:bodyDiv w:val="1"/>
      <w:marLeft w:val="0"/>
      <w:marRight w:val="0"/>
      <w:marTop w:val="0"/>
      <w:marBottom w:val="0"/>
      <w:divBdr>
        <w:top w:val="none" w:sz="0" w:space="0" w:color="auto"/>
        <w:left w:val="none" w:sz="0" w:space="0" w:color="auto"/>
        <w:bottom w:val="none" w:sz="0" w:space="0" w:color="auto"/>
        <w:right w:val="none" w:sz="0" w:space="0" w:color="auto"/>
      </w:divBdr>
      <w:divsChild>
        <w:div w:id="1934243781">
          <w:marLeft w:val="0"/>
          <w:marRight w:val="0"/>
          <w:marTop w:val="0"/>
          <w:marBottom w:val="0"/>
          <w:divBdr>
            <w:top w:val="none" w:sz="0" w:space="0" w:color="auto"/>
            <w:left w:val="none" w:sz="0" w:space="0" w:color="auto"/>
            <w:bottom w:val="none" w:sz="0" w:space="0" w:color="auto"/>
            <w:right w:val="none" w:sz="0" w:space="0" w:color="auto"/>
          </w:divBdr>
        </w:div>
        <w:div w:id="426851050">
          <w:marLeft w:val="0"/>
          <w:marRight w:val="0"/>
          <w:marTop w:val="0"/>
          <w:marBottom w:val="0"/>
          <w:divBdr>
            <w:top w:val="none" w:sz="0" w:space="0" w:color="auto"/>
            <w:left w:val="none" w:sz="0" w:space="0" w:color="auto"/>
            <w:bottom w:val="none" w:sz="0" w:space="0" w:color="auto"/>
            <w:right w:val="none" w:sz="0" w:space="0" w:color="auto"/>
          </w:divBdr>
        </w:div>
      </w:divsChild>
    </w:div>
    <w:div w:id="1254900638">
      <w:bodyDiv w:val="1"/>
      <w:marLeft w:val="0"/>
      <w:marRight w:val="0"/>
      <w:marTop w:val="0"/>
      <w:marBottom w:val="0"/>
      <w:divBdr>
        <w:top w:val="none" w:sz="0" w:space="0" w:color="auto"/>
        <w:left w:val="none" w:sz="0" w:space="0" w:color="auto"/>
        <w:bottom w:val="none" w:sz="0" w:space="0" w:color="auto"/>
        <w:right w:val="none" w:sz="0" w:space="0" w:color="auto"/>
      </w:divBdr>
    </w:div>
    <w:div w:id="1478230278">
      <w:bodyDiv w:val="1"/>
      <w:marLeft w:val="0"/>
      <w:marRight w:val="0"/>
      <w:marTop w:val="0"/>
      <w:marBottom w:val="0"/>
      <w:divBdr>
        <w:top w:val="none" w:sz="0" w:space="0" w:color="auto"/>
        <w:left w:val="none" w:sz="0" w:space="0" w:color="auto"/>
        <w:bottom w:val="none" w:sz="0" w:space="0" w:color="auto"/>
        <w:right w:val="none" w:sz="0" w:space="0" w:color="auto"/>
      </w:divBdr>
    </w:div>
    <w:div w:id="1578856718">
      <w:bodyDiv w:val="1"/>
      <w:marLeft w:val="0"/>
      <w:marRight w:val="0"/>
      <w:marTop w:val="0"/>
      <w:marBottom w:val="0"/>
      <w:divBdr>
        <w:top w:val="none" w:sz="0" w:space="0" w:color="auto"/>
        <w:left w:val="none" w:sz="0" w:space="0" w:color="auto"/>
        <w:bottom w:val="none" w:sz="0" w:space="0" w:color="auto"/>
        <w:right w:val="none" w:sz="0" w:space="0" w:color="auto"/>
      </w:divBdr>
    </w:div>
    <w:div w:id="1919317930">
      <w:bodyDiv w:val="1"/>
      <w:marLeft w:val="0"/>
      <w:marRight w:val="0"/>
      <w:marTop w:val="0"/>
      <w:marBottom w:val="0"/>
      <w:divBdr>
        <w:top w:val="none" w:sz="0" w:space="0" w:color="auto"/>
        <w:left w:val="none" w:sz="0" w:space="0" w:color="auto"/>
        <w:bottom w:val="none" w:sz="0" w:space="0" w:color="auto"/>
        <w:right w:val="none" w:sz="0" w:space="0" w:color="auto"/>
      </w:divBdr>
      <w:divsChild>
        <w:div w:id="652566558">
          <w:marLeft w:val="0"/>
          <w:marRight w:val="0"/>
          <w:marTop w:val="0"/>
          <w:marBottom w:val="0"/>
          <w:divBdr>
            <w:top w:val="none" w:sz="0" w:space="0" w:color="auto"/>
            <w:left w:val="none" w:sz="0" w:space="0" w:color="auto"/>
            <w:bottom w:val="none" w:sz="0" w:space="0" w:color="auto"/>
            <w:right w:val="none" w:sz="0" w:space="0" w:color="auto"/>
          </w:divBdr>
        </w:div>
        <w:div w:id="149299296">
          <w:marLeft w:val="0"/>
          <w:marRight w:val="0"/>
          <w:marTop w:val="0"/>
          <w:marBottom w:val="0"/>
          <w:divBdr>
            <w:top w:val="none" w:sz="0" w:space="0" w:color="auto"/>
            <w:left w:val="none" w:sz="0" w:space="0" w:color="auto"/>
            <w:bottom w:val="none" w:sz="0" w:space="0" w:color="auto"/>
            <w:right w:val="none" w:sz="0" w:space="0" w:color="auto"/>
          </w:divBdr>
        </w:div>
        <w:div w:id="319820086">
          <w:marLeft w:val="0"/>
          <w:marRight w:val="0"/>
          <w:marTop w:val="0"/>
          <w:marBottom w:val="0"/>
          <w:divBdr>
            <w:top w:val="none" w:sz="0" w:space="0" w:color="auto"/>
            <w:left w:val="none" w:sz="0" w:space="0" w:color="auto"/>
            <w:bottom w:val="none" w:sz="0" w:space="0" w:color="auto"/>
            <w:right w:val="none" w:sz="0" w:space="0" w:color="auto"/>
          </w:divBdr>
        </w:div>
        <w:div w:id="1280378991">
          <w:marLeft w:val="0"/>
          <w:marRight w:val="0"/>
          <w:marTop w:val="0"/>
          <w:marBottom w:val="0"/>
          <w:divBdr>
            <w:top w:val="none" w:sz="0" w:space="0" w:color="auto"/>
            <w:left w:val="none" w:sz="0" w:space="0" w:color="auto"/>
            <w:bottom w:val="none" w:sz="0" w:space="0" w:color="auto"/>
            <w:right w:val="none" w:sz="0" w:space="0" w:color="auto"/>
          </w:divBdr>
        </w:div>
        <w:div w:id="386345680">
          <w:marLeft w:val="0"/>
          <w:marRight w:val="0"/>
          <w:marTop w:val="0"/>
          <w:marBottom w:val="0"/>
          <w:divBdr>
            <w:top w:val="none" w:sz="0" w:space="0" w:color="auto"/>
            <w:left w:val="none" w:sz="0" w:space="0" w:color="auto"/>
            <w:bottom w:val="none" w:sz="0" w:space="0" w:color="auto"/>
            <w:right w:val="none" w:sz="0" w:space="0" w:color="auto"/>
          </w:divBdr>
        </w:div>
        <w:div w:id="2056539031">
          <w:marLeft w:val="0"/>
          <w:marRight w:val="0"/>
          <w:marTop w:val="0"/>
          <w:marBottom w:val="0"/>
          <w:divBdr>
            <w:top w:val="none" w:sz="0" w:space="0" w:color="auto"/>
            <w:left w:val="none" w:sz="0" w:space="0" w:color="auto"/>
            <w:bottom w:val="none" w:sz="0" w:space="0" w:color="auto"/>
            <w:right w:val="none" w:sz="0" w:space="0" w:color="auto"/>
          </w:divBdr>
        </w:div>
        <w:div w:id="2010254260">
          <w:marLeft w:val="0"/>
          <w:marRight w:val="0"/>
          <w:marTop w:val="0"/>
          <w:marBottom w:val="0"/>
          <w:divBdr>
            <w:top w:val="none" w:sz="0" w:space="0" w:color="auto"/>
            <w:left w:val="none" w:sz="0" w:space="0" w:color="auto"/>
            <w:bottom w:val="none" w:sz="0" w:space="0" w:color="auto"/>
            <w:right w:val="none" w:sz="0" w:space="0" w:color="auto"/>
          </w:divBdr>
        </w:div>
        <w:div w:id="254360916">
          <w:marLeft w:val="0"/>
          <w:marRight w:val="0"/>
          <w:marTop w:val="0"/>
          <w:marBottom w:val="0"/>
          <w:divBdr>
            <w:top w:val="none" w:sz="0" w:space="0" w:color="auto"/>
            <w:left w:val="none" w:sz="0" w:space="0" w:color="auto"/>
            <w:bottom w:val="none" w:sz="0" w:space="0" w:color="auto"/>
            <w:right w:val="none" w:sz="0" w:space="0" w:color="auto"/>
          </w:divBdr>
        </w:div>
        <w:div w:id="1414275656">
          <w:marLeft w:val="0"/>
          <w:marRight w:val="0"/>
          <w:marTop w:val="0"/>
          <w:marBottom w:val="0"/>
          <w:divBdr>
            <w:top w:val="none" w:sz="0" w:space="0" w:color="auto"/>
            <w:left w:val="none" w:sz="0" w:space="0" w:color="auto"/>
            <w:bottom w:val="none" w:sz="0" w:space="0" w:color="auto"/>
            <w:right w:val="none" w:sz="0" w:space="0" w:color="auto"/>
          </w:divBdr>
        </w:div>
        <w:div w:id="1165123378">
          <w:marLeft w:val="0"/>
          <w:marRight w:val="0"/>
          <w:marTop w:val="0"/>
          <w:marBottom w:val="0"/>
          <w:divBdr>
            <w:top w:val="none" w:sz="0" w:space="0" w:color="auto"/>
            <w:left w:val="none" w:sz="0" w:space="0" w:color="auto"/>
            <w:bottom w:val="none" w:sz="0" w:space="0" w:color="auto"/>
            <w:right w:val="none" w:sz="0" w:space="0" w:color="auto"/>
          </w:divBdr>
        </w:div>
        <w:div w:id="705521010">
          <w:marLeft w:val="0"/>
          <w:marRight w:val="0"/>
          <w:marTop w:val="0"/>
          <w:marBottom w:val="0"/>
          <w:divBdr>
            <w:top w:val="none" w:sz="0" w:space="0" w:color="auto"/>
            <w:left w:val="none" w:sz="0" w:space="0" w:color="auto"/>
            <w:bottom w:val="none" w:sz="0" w:space="0" w:color="auto"/>
            <w:right w:val="none" w:sz="0" w:space="0" w:color="auto"/>
          </w:divBdr>
        </w:div>
        <w:div w:id="1900549840">
          <w:marLeft w:val="0"/>
          <w:marRight w:val="0"/>
          <w:marTop w:val="0"/>
          <w:marBottom w:val="0"/>
          <w:divBdr>
            <w:top w:val="none" w:sz="0" w:space="0" w:color="auto"/>
            <w:left w:val="none" w:sz="0" w:space="0" w:color="auto"/>
            <w:bottom w:val="none" w:sz="0" w:space="0" w:color="auto"/>
            <w:right w:val="none" w:sz="0" w:space="0" w:color="auto"/>
          </w:divBdr>
        </w:div>
        <w:div w:id="772017936">
          <w:marLeft w:val="0"/>
          <w:marRight w:val="0"/>
          <w:marTop w:val="0"/>
          <w:marBottom w:val="0"/>
          <w:divBdr>
            <w:top w:val="none" w:sz="0" w:space="0" w:color="auto"/>
            <w:left w:val="none" w:sz="0" w:space="0" w:color="auto"/>
            <w:bottom w:val="none" w:sz="0" w:space="0" w:color="auto"/>
            <w:right w:val="none" w:sz="0" w:space="0" w:color="auto"/>
          </w:divBdr>
        </w:div>
        <w:div w:id="1526137195">
          <w:marLeft w:val="0"/>
          <w:marRight w:val="0"/>
          <w:marTop w:val="0"/>
          <w:marBottom w:val="0"/>
          <w:divBdr>
            <w:top w:val="none" w:sz="0" w:space="0" w:color="auto"/>
            <w:left w:val="none" w:sz="0" w:space="0" w:color="auto"/>
            <w:bottom w:val="none" w:sz="0" w:space="0" w:color="auto"/>
            <w:right w:val="none" w:sz="0" w:space="0" w:color="auto"/>
          </w:divBdr>
        </w:div>
        <w:div w:id="1628007669">
          <w:marLeft w:val="0"/>
          <w:marRight w:val="0"/>
          <w:marTop w:val="0"/>
          <w:marBottom w:val="0"/>
          <w:divBdr>
            <w:top w:val="none" w:sz="0" w:space="0" w:color="auto"/>
            <w:left w:val="none" w:sz="0" w:space="0" w:color="auto"/>
            <w:bottom w:val="none" w:sz="0" w:space="0" w:color="auto"/>
            <w:right w:val="none" w:sz="0" w:space="0" w:color="auto"/>
          </w:divBdr>
        </w:div>
        <w:div w:id="383456621">
          <w:marLeft w:val="0"/>
          <w:marRight w:val="0"/>
          <w:marTop w:val="0"/>
          <w:marBottom w:val="0"/>
          <w:divBdr>
            <w:top w:val="none" w:sz="0" w:space="0" w:color="auto"/>
            <w:left w:val="none" w:sz="0" w:space="0" w:color="auto"/>
            <w:bottom w:val="none" w:sz="0" w:space="0" w:color="auto"/>
            <w:right w:val="none" w:sz="0" w:space="0" w:color="auto"/>
          </w:divBdr>
        </w:div>
        <w:div w:id="67457631">
          <w:marLeft w:val="0"/>
          <w:marRight w:val="0"/>
          <w:marTop w:val="0"/>
          <w:marBottom w:val="0"/>
          <w:divBdr>
            <w:top w:val="none" w:sz="0" w:space="0" w:color="auto"/>
            <w:left w:val="none" w:sz="0" w:space="0" w:color="auto"/>
            <w:bottom w:val="none" w:sz="0" w:space="0" w:color="auto"/>
            <w:right w:val="none" w:sz="0" w:space="0" w:color="auto"/>
          </w:divBdr>
        </w:div>
        <w:div w:id="934940281">
          <w:marLeft w:val="0"/>
          <w:marRight w:val="0"/>
          <w:marTop w:val="0"/>
          <w:marBottom w:val="0"/>
          <w:divBdr>
            <w:top w:val="none" w:sz="0" w:space="0" w:color="auto"/>
            <w:left w:val="none" w:sz="0" w:space="0" w:color="auto"/>
            <w:bottom w:val="none" w:sz="0" w:space="0" w:color="auto"/>
            <w:right w:val="none" w:sz="0" w:space="0" w:color="auto"/>
          </w:divBdr>
        </w:div>
        <w:div w:id="1439174601">
          <w:marLeft w:val="0"/>
          <w:marRight w:val="0"/>
          <w:marTop w:val="0"/>
          <w:marBottom w:val="0"/>
          <w:divBdr>
            <w:top w:val="none" w:sz="0" w:space="0" w:color="auto"/>
            <w:left w:val="none" w:sz="0" w:space="0" w:color="auto"/>
            <w:bottom w:val="none" w:sz="0" w:space="0" w:color="auto"/>
            <w:right w:val="none" w:sz="0" w:space="0" w:color="auto"/>
          </w:divBdr>
        </w:div>
        <w:div w:id="474876734">
          <w:marLeft w:val="0"/>
          <w:marRight w:val="0"/>
          <w:marTop w:val="0"/>
          <w:marBottom w:val="0"/>
          <w:divBdr>
            <w:top w:val="none" w:sz="0" w:space="0" w:color="auto"/>
            <w:left w:val="none" w:sz="0" w:space="0" w:color="auto"/>
            <w:bottom w:val="none" w:sz="0" w:space="0" w:color="auto"/>
            <w:right w:val="none" w:sz="0" w:space="0" w:color="auto"/>
          </w:divBdr>
        </w:div>
        <w:div w:id="1730037919">
          <w:marLeft w:val="0"/>
          <w:marRight w:val="0"/>
          <w:marTop w:val="0"/>
          <w:marBottom w:val="0"/>
          <w:divBdr>
            <w:top w:val="none" w:sz="0" w:space="0" w:color="auto"/>
            <w:left w:val="none" w:sz="0" w:space="0" w:color="auto"/>
            <w:bottom w:val="none" w:sz="0" w:space="0" w:color="auto"/>
            <w:right w:val="none" w:sz="0" w:space="0" w:color="auto"/>
          </w:divBdr>
        </w:div>
        <w:div w:id="427967039">
          <w:marLeft w:val="0"/>
          <w:marRight w:val="0"/>
          <w:marTop w:val="0"/>
          <w:marBottom w:val="0"/>
          <w:divBdr>
            <w:top w:val="none" w:sz="0" w:space="0" w:color="auto"/>
            <w:left w:val="none" w:sz="0" w:space="0" w:color="auto"/>
            <w:bottom w:val="none" w:sz="0" w:space="0" w:color="auto"/>
            <w:right w:val="none" w:sz="0" w:space="0" w:color="auto"/>
          </w:divBdr>
        </w:div>
        <w:div w:id="1936671098">
          <w:marLeft w:val="0"/>
          <w:marRight w:val="0"/>
          <w:marTop w:val="0"/>
          <w:marBottom w:val="0"/>
          <w:divBdr>
            <w:top w:val="none" w:sz="0" w:space="0" w:color="auto"/>
            <w:left w:val="none" w:sz="0" w:space="0" w:color="auto"/>
            <w:bottom w:val="none" w:sz="0" w:space="0" w:color="auto"/>
            <w:right w:val="none" w:sz="0" w:space="0" w:color="auto"/>
          </w:divBdr>
        </w:div>
        <w:div w:id="1850365017">
          <w:marLeft w:val="0"/>
          <w:marRight w:val="0"/>
          <w:marTop w:val="0"/>
          <w:marBottom w:val="0"/>
          <w:divBdr>
            <w:top w:val="none" w:sz="0" w:space="0" w:color="auto"/>
            <w:left w:val="none" w:sz="0" w:space="0" w:color="auto"/>
            <w:bottom w:val="none" w:sz="0" w:space="0" w:color="auto"/>
            <w:right w:val="none" w:sz="0" w:space="0" w:color="auto"/>
          </w:divBdr>
        </w:div>
        <w:div w:id="141630183">
          <w:marLeft w:val="0"/>
          <w:marRight w:val="0"/>
          <w:marTop w:val="0"/>
          <w:marBottom w:val="0"/>
          <w:divBdr>
            <w:top w:val="none" w:sz="0" w:space="0" w:color="auto"/>
            <w:left w:val="none" w:sz="0" w:space="0" w:color="auto"/>
            <w:bottom w:val="none" w:sz="0" w:space="0" w:color="auto"/>
            <w:right w:val="none" w:sz="0" w:space="0" w:color="auto"/>
          </w:divBdr>
        </w:div>
        <w:div w:id="493109280">
          <w:marLeft w:val="0"/>
          <w:marRight w:val="0"/>
          <w:marTop w:val="0"/>
          <w:marBottom w:val="0"/>
          <w:divBdr>
            <w:top w:val="none" w:sz="0" w:space="0" w:color="auto"/>
            <w:left w:val="none" w:sz="0" w:space="0" w:color="auto"/>
            <w:bottom w:val="none" w:sz="0" w:space="0" w:color="auto"/>
            <w:right w:val="none" w:sz="0" w:space="0" w:color="auto"/>
          </w:divBdr>
        </w:div>
        <w:div w:id="966933542">
          <w:marLeft w:val="0"/>
          <w:marRight w:val="0"/>
          <w:marTop w:val="0"/>
          <w:marBottom w:val="0"/>
          <w:divBdr>
            <w:top w:val="none" w:sz="0" w:space="0" w:color="auto"/>
            <w:left w:val="none" w:sz="0" w:space="0" w:color="auto"/>
            <w:bottom w:val="none" w:sz="0" w:space="0" w:color="auto"/>
            <w:right w:val="none" w:sz="0" w:space="0" w:color="auto"/>
          </w:divBdr>
        </w:div>
        <w:div w:id="534006702">
          <w:marLeft w:val="0"/>
          <w:marRight w:val="0"/>
          <w:marTop w:val="0"/>
          <w:marBottom w:val="0"/>
          <w:divBdr>
            <w:top w:val="none" w:sz="0" w:space="0" w:color="auto"/>
            <w:left w:val="none" w:sz="0" w:space="0" w:color="auto"/>
            <w:bottom w:val="none" w:sz="0" w:space="0" w:color="auto"/>
            <w:right w:val="none" w:sz="0" w:space="0" w:color="auto"/>
          </w:divBdr>
        </w:div>
      </w:divsChild>
    </w:div>
    <w:div w:id="2037195992">
      <w:bodyDiv w:val="1"/>
      <w:marLeft w:val="0"/>
      <w:marRight w:val="0"/>
      <w:marTop w:val="0"/>
      <w:marBottom w:val="0"/>
      <w:divBdr>
        <w:top w:val="none" w:sz="0" w:space="0" w:color="auto"/>
        <w:left w:val="none" w:sz="0" w:space="0" w:color="auto"/>
        <w:bottom w:val="none" w:sz="0" w:space="0" w:color="auto"/>
        <w:right w:val="none" w:sz="0" w:space="0" w:color="auto"/>
      </w:divBdr>
      <w:divsChild>
        <w:div w:id="432281785">
          <w:marLeft w:val="0"/>
          <w:marRight w:val="0"/>
          <w:marTop w:val="0"/>
          <w:marBottom w:val="0"/>
          <w:divBdr>
            <w:top w:val="none" w:sz="0" w:space="0" w:color="auto"/>
            <w:left w:val="none" w:sz="0" w:space="0" w:color="auto"/>
            <w:bottom w:val="none" w:sz="0" w:space="0" w:color="auto"/>
            <w:right w:val="none" w:sz="0" w:space="0" w:color="auto"/>
          </w:divBdr>
        </w:div>
      </w:divsChild>
    </w:div>
    <w:div w:id="2066828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ocb.org/wp-content/uploads/sites/43/2018/05/TOWN_HALL_AWhite.pdf" TargetMode="External"/><Relationship Id="rId13" Type="http://schemas.openxmlformats.org/officeDocument/2006/relationships/hyperlink" Target="https://www.frontiersin.org/article/10.3389/fmicb.2015.007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s-ocb.org/n-fixation-working-group/" TargetMode="External"/><Relationship Id="rId12" Type="http://schemas.openxmlformats.org/officeDocument/2006/relationships/hyperlink" Target="https://doi.org/10.1021/acs.analchem.7b0497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forms/d/1yvoqSpjZrLDgJeuqJqpCYTVN1g4yHMSVt1uOeeD3t4o/edit?usp=sharing" TargetMode="External"/><Relationship Id="rId1" Type="http://schemas.openxmlformats.org/officeDocument/2006/relationships/customXml" Target="../customXml/item1.xml"/><Relationship Id="rId6" Type="http://schemas.openxmlformats.org/officeDocument/2006/relationships/hyperlink" Target="https://goo.gl/forms/xpVmmeds7pgq8DQH2" TargetMode="External"/><Relationship Id="rId11" Type="http://schemas.openxmlformats.org/officeDocument/2006/relationships/hyperlink" Target="https://www.frontiersin.org/article/10.3389/fmars.2018.00006" TargetMode="External"/><Relationship Id="rId5" Type="http://schemas.openxmlformats.org/officeDocument/2006/relationships/webSettings" Target="webSettings.xml"/><Relationship Id="rId15" Type="http://schemas.openxmlformats.org/officeDocument/2006/relationships/hyperlink" Target="http://www.ncbi.nlm.nih.gov/pubmed/16535283" TargetMode="External"/><Relationship Id="rId10" Type="http://schemas.openxmlformats.org/officeDocument/2006/relationships/hyperlink" Target="https://www.us-ocb.org/wp-content/uploads/sites/43/2018/03/15N2_Plymouth_Feb2013-Mahaffey-Rees-Kitidis.pdf" TargetMode="External"/><Relationship Id="rId4" Type="http://schemas.openxmlformats.org/officeDocument/2006/relationships/settings" Target="settings.xml"/><Relationship Id="rId9" Type="http://schemas.openxmlformats.org/officeDocument/2006/relationships/hyperlink" Target="https://www.us-ocb.org/wp-content/uploads/sites/43/2018/03/Kiel_Workshop_Report.pdf" TargetMode="External"/><Relationship Id="rId14" Type="http://schemas.openxmlformats.org/officeDocument/2006/relationships/hyperlink" Target="https://doi.org/10.1371/journal.pone.0012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E5CAD-BDC8-644F-AD1C-E368B98D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2538</Words>
  <Characters>14944</Characters>
  <Application>Microsoft Office Word</Application>
  <DocSecurity>0</DocSecurity>
  <Lines>266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Dartmouth</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Julie</dc:creator>
  <cp:keywords/>
  <dc:description/>
  <cp:lastModifiedBy>Mai Maheigan</cp:lastModifiedBy>
  <cp:revision>3</cp:revision>
  <cp:lastPrinted>2018-05-21T20:19:00Z</cp:lastPrinted>
  <dcterms:created xsi:type="dcterms:W3CDTF">2018-05-21T20:21:00Z</dcterms:created>
  <dcterms:modified xsi:type="dcterms:W3CDTF">2018-05-21T20:22:00Z</dcterms:modified>
</cp:coreProperties>
</file>